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53DFF0F" w14:textId="0288489D" w:rsidR="0007659A" w:rsidRDefault="00F94E0B">
      <w:bookmarkStart w:id="0" w:name="_GoBack"/>
      <w:r>
        <w:rPr>
          <w:noProof/>
          <w:lang w:eastAsia="es-EC"/>
        </w:rPr>
        <w:drawing>
          <wp:anchor distT="0" distB="0" distL="114300" distR="114300" simplePos="0" relativeHeight="251667456" behindDoc="1" locked="0" layoutInCell="1" allowOverlap="1" wp14:anchorId="4156717F" wp14:editId="4A21D2EE">
            <wp:simplePos x="0" y="0"/>
            <wp:positionH relativeFrom="page">
              <wp:align>right</wp:align>
            </wp:positionH>
            <wp:positionV relativeFrom="paragraph">
              <wp:posOffset>-895350</wp:posOffset>
            </wp:positionV>
            <wp:extent cx="7556789" cy="10680700"/>
            <wp:effectExtent l="0" t="0" r="6350" b="635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a:blip r:embed="rId8">
                      <a:extLst>
                        <a:ext uri="{28A0092B-C50C-407E-A947-70E740481C1C}">
                          <a14:useLocalDpi xmlns:a14="http://schemas.microsoft.com/office/drawing/2010/main" val="0"/>
                        </a:ext>
                      </a:extLst>
                    </a:blip>
                    <a:stretch>
                      <a:fillRect/>
                    </a:stretch>
                  </pic:blipFill>
                  <pic:spPr>
                    <a:xfrm>
                      <a:off x="0" y="0"/>
                      <a:ext cx="7556789" cy="10680700"/>
                    </a:xfrm>
                    <a:prstGeom prst="rect">
                      <a:avLst/>
                    </a:prstGeom>
                  </pic:spPr>
                </pic:pic>
              </a:graphicData>
            </a:graphic>
            <wp14:sizeRelH relativeFrom="page">
              <wp14:pctWidth>0</wp14:pctWidth>
            </wp14:sizeRelH>
            <wp14:sizeRelV relativeFrom="page">
              <wp14:pctHeight>0</wp14:pctHeight>
            </wp14:sizeRelV>
          </wp:anchor>
        </w:drawing>
      </w:r>
      <w:bookmarkEnd w:id="0"/>
    </w:p>
    <w:p w14:paraId="61687BF2" w14:textId="77777777" w:rsidR="00870600" w:rsidRDefault="00870600"/>
    <w:p w14:paraId="0067CC75" w14:textId="77777777" w:rsidR="00870600" w:rsidRDefault="00870600"/>
    <w:p w14:paraId="437BFA8F" w14:textId="06482901" w:rsidR="0007659A" w:rsidRDefault="0007659A"/>
    <w:p w14:paraId="1959B1CE" w14:textId="2106E648" w:rsidR="0007659A" w:rsidRDefault="0007659A"/>
    <w:p w14:paraId="20BD25B6" w14:textId="00218DAB" w:rsidR="0007659A" w:rsidRDefault="0007659A"/>
    <w:p w14:paraId="5B6F3B05" w14:textId="7B1BB92B" w:rsidR="0007659A" w:rsidRDefault="0007659A"/>
    <w:p w14:paraId="623DC05D" w14:textId="73418915" w:rsidR="0007659A" w:rsidRDefault="0007659A"/>
    <w:p w14:paraId="6B1C00D1" w14:textId="719BAD1D" w:rsidR="0007659A" w:rsidRDefault="00F94E0B">
      <w:r>
        <w:rPr>
          <w:noProof/>
          <w:lang w:eastAsia="es-EC"/>
        </w:rPr>
        <mc:AlternateContent>
          <mc:Choice Requires="wps">
            <w:drawing>
              <wp:anchor distT="0" distB="0" distL="114300" distR="114300" simplePos="0" relativeHeight="251671552" behindDoc="0" locked="0" layoutInCell="1" allowOverlap="1" wp14:anchorId="4E586936" wp14:editId="7C4D3388">
                <wp:simplePos x="0" y="0"/>
                <wp:positionH relativeFrom="margin">
                  <wp:align>left</wp:align>
                </wp:positionH>
                <wp:positionV relativeFrom="paragraph">
                  <wp:posOffset>182968</wp:posOffset>
                </wp:positionV>
                <wp:extent cx="5562600" cy="1571625"/>
                <wp:effectExtent l="0" t="0" r="0" b="9525"/>
                <wp:wrapNone/>
                <wp:docPr id="5" name="Cuadro de texto 5"/>
                <wp:cNvGraphicFramePr/>
                <a:graphic xmlns:a="http://schemas.openxmlformats.org/drawingml/2006/main">
                  <a:graphicData uri="http://schemas.microsoft.com/office/word/2010/wordprocessingShape">
                    <wps:wsp>
                      <wps:cNvSpPr txBox="1"/>
                      <wps:spPr>
                        <a:xfrm>
                          <a:off x="0" y="0"/>
                          <a:ext cx="5562600" cy="1571625"/>
                        </a:xfrm>
                        <a:prstGeom prst="rect">
                          <a:avLst/>
                        </a:prstGeom>
                        <a:noFill/>
                        <a:ln w="6350">
                          <a:noFill/>
                        </a:ln>
                      </wps:spPr>
                      <wps:txbx>
                        <w:txbxContent>
                          <w:p w14:paraId="4D7520EC" w14:textId="66CD67C6" w:rsidR="00F94E0B" w:rsidRPr="009711F8" w:rsidRDefault="00F94E0B" w:rsidP="00F94E0B">
                            <w:pPr>
                              <w:rPr>
                                <w:rFonts w:ascii="Century Gothic" w:hAnsi="Century Gothic"/>
                                <w:b/>
                                <w:bCs/>
                                <w:color w:val="2D4037"/>
                                <w:sz w:val="96"/>
                                <w:szCs w:val="96"/>
                                <w:lang w:val="es-ES"/>
                              </w:rPr>
                            </w:pPr>
                            <w:r>
                              <w:rPr>
                                <w:rFonts w:ascii="Century Gothic" w:hAnsi="Century Gothic"/>
                                <w:b/>
                                <w:bCs/>
                                <w:color w:val="646482"/>
                                <w:sz w:val="100"/>
                                <w:szCs w:val="100"/>
                                <w:lang w:val="es-ES"/>
                              </w:rPr>
                              <w:t>Guía de uso de la base de datos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E586936" id="_x0000_t202" coordsize="21600,21600" o:spt="202" path="m,l,21600r21600,l21600,xe">
                <v:stroke joinstyle="miter"/>
                <v:path gradientshapeok="t" o:connecttype="rect"/>
              </v:shapetype>
              <v:shape id="Cuadro de texto 5" o:spid="_x0000_s1026" type="#_x0000_t202" style="position:absolute;margin-left:0;margin-top:14.4pt;width:438pt;height:123.75pt;z-index:2516715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" filled="f" stroked="f" strokeweight=".5pt">
                <v:textbox inset="0,0,0,0">
                  <w:txbxContent>
                    <w:p w14:paraId="4D7520EC" w14:textId="66CD67C6" w:rsidR="00F94E0B" w:rsidRPr="009711F8" w:rsidRDefault="00F94E0B" w:rsidP="00F94E0B">
                      <w:pPr>
                        <w:rPr>
                          <w:rFonts w:ascii="Century Gothic" w:hAnsi="Century Gothic"/>
                          <w:b/>
                          <w:bCs/>
                          <w:color w:val="2D4037"/>
                          <w:sz w:val="96"/>
                          <w:szCs w:val="96"/>
                          <w:lang w:val="es-ES"/>
                        </w:rPr>
                      </w:pPr>
                      <w:r>
                        <w:rPr>
                          <w:rFonts w:ascii="Century Gothic" w:hAnsi="Century Gothic"/>
                          <w:b/>
                          <w:bCs/>
                          <w:color w:val="646482"/>
                          <w:sz w:val="100"/>
                          <w:szCs w:val="100"/>
                          <w:lang w:val="es-ES"/>
                        </w:rPr>
                        <w:t>Guía de uso de la base de datos</w:t>
                      </w:r>
                    </w:p>
                  </w:txbxContent>
                </v:textbox>
                <w10:wrap anchorx="margin"/>
              </v:shape>
            </w:pict>
          </mc:Fallback>
        </mc:AlternateContent>
      </w:r>
    </w:p>
    <w:p w14:paraId="4E5D06E6" w14:textId="03C7378C" w:rsidR="0007659A" w:rsidRDefault="0007659A"/>
    <w:p w14:paraId="2DC78E84" w14:textId="3B2095A9" w:rsidR="0007659A" w:rsidRDefault="0007659A"/>
    <w:p w14:paraId="00EF8C48" w14:textId="7EDFF386" w:rsidR="0007659A" w:rsidRDefault="0007659A"/>
    <w:p w14:paraId="7A0B4941" w14:textId="6EC9074B" w:rsidR="0007659A" w:rsidRDefault="0007659A"/>
    <w:p w14:paraId="6FC407B6" w14:textId="593504EC" w:rsidR="0007659A" w:rsidRDefault="0007659A"/>
    <w:p w14:paraId="24084193" w14:textId="38E7F7BE" w:rsidR="0007659A" w:rsidRDefault="0007659A"/>
    <w:p w14:paraId="005BBEDA" w14:textId="4587BCC3" w:rsidR="0007659A" w:rsidRDefault="0007659A"/>
    <w:p w14:paraId="7E061395" w14:textId="33B69FB0" w:rsidR="0007659A" w:rsidRDefault="0007659A"/>
    <w:p w14:paraId="50EE00BB" w14:textId="65B8245E" w:rsidR="0007659A" w:rsidRDefault="0007659A"/>
    <w:p w14:paraId="4988B149" w14:textId="6E7F03F6" w:rsidR="0007659A" w:rsidRDefault="0007659A"/>
    <w:p w14:paraId="2FD7E050" w14:textId="2229B6F1" w:rsidR="0007659A" w:rsidRDefault="0007659A"/>
    <w:p w14:paraId="30D2D061" w14:textId="355BF5EC" w:rsidR="0007659A" w:rsidRDefault="00F94E0B">
      <w:r>
        <w:rPr>
          <w:noProof/>
          <w:lang w:eastAsia="es-EC"/>
        </w:rPr>
        <mc:AlternateContent>
          <mc:Choice Requires="wps">
            <w:drawing>
              <wp:anchor distT="0" distB="0" distL="114300" distR="114300" simplePos="0" relativeHeight="251669504" behindDoc="0" locked="0" layoutInCell="1" allowOverlap="1" wp14:anchorId="60FBB8AB" wp14:editId="0B2D20AA">
                <wp:simplePos x="0" y="0"/>
                <wp:positionH relativeFrom="margin">
                  <wp:align>left</wp:align>
                </wp:positionH>
                <wp:positionV relativeFrom="paragraph">
                  <wp:posOffset>14539</wp:posOffset>
                </wp:positionV>
                <wp:extent cx="5068920" cy="3247696"/>
                <wp:effectExtent l="0" t="0" r="0" b="10160"/>
                <wp:wrapNone/>
                <wp:docPr id="6" name="Cuadro de texto 6"/>
                <wp:cNvGraphicFramePr/>
                <a:graphic xmlns:a="http://schemas.openxmlformats.org/drawingml/2006/main">
                  <a:graphicData uri="http://schemas.microsoft.com/office/word/2010/wordprocessingShape">
                    <wps:wsp>
                      <wps:cNvSpPr txBox="1"/>
                      <wps:spPr>
                        <a:xfrm>
                          <a:off x="0" y="0"/>
                          <a:ext cx="5068920" cy="3247696"/>
                        </a:xfrm>
                        <a:prstGeom prst="rect">
                          <a:avLst/>
                        </a:prstGeom>
                        <a:noFill/>
                        <a:ln w="6350">
                          <a:noFill/>
                        </a:ln>
                      </wps:spPr>
                      <wps:txbx>
                        <w:txbxContent>
                          <w:p w14:paraId="0C9BFA2C" w14:textId="77777777" w:rsidR="00F94E0B" w:rsidRPr="006077EE" w:rsidRDefault="00F94E0B" w:rsidP="00F94E0B">
                            <w:pPr>
                              <w:jc w:val="center"/>
                              <w:rPr>
                                <w:rFonts w:ascii="Century Gothic" w:hAnsi="Century Gothic"/>
                                <w:color w:val="646482"/>
                                <w:sz w:val="80"/>
                                <w:szCs w:val="80"/>
                                <w:lang w:val="es-ES"/>
                              </w:rPr>
                            </w:pPr>
                            <w:r w:rsidRPr="006077EE">
                              <w:rPr>
                                <w:rFonts w:ascii="Century Gothic" w:hAnsi="Century Gothic"/>
                                <w:color w:val="646482"/>
                                <w:sz w:val="80"/>
                                <w:szCs w:val="80"/>
                                <w:lang w:val="es-ES"/>
                              </w:rPr>
                              <w:t>Módulo Ambiental Económico de la Encuesta Estructural Empresarial (ENESEM), 2020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0FBB8AB" id="Cuadro de texto 6" o:spid="_x0000_s1027" type="#_x0000_t202" style="position:absolute;margin-left:0;margin-top:1.15pt;width:399.15pt;height:255.7pt;z-index:2516695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" filled="f" stroked="f" strokeweight=".5pt">
                <v:textbox inset="0,0,0,0">
                  <w:txbxContent>
                    <w:p w14:paraId="0C9BFA2C" w14:textId="77777777" w:rsidR="00F94E0B" w:rsidRPr="006077EE" w:rsidRDefault="00F94E0B" w:rsidP="00F94E0B">
                      <w:pPr>
                        <w:jc w:val="center"/>
                        <w:rPr>
                          <w:rFonts w:ascii="Century Gothic" w:hAnsi="Century Gothic"/>
                          <w:color w:val="646482"/>
                          <w:sz w:val="80"/>
                          <w:szCs w:val="80"/>
                          <w:lang w:val="es-ES"/>
                        </w:rPr>
                      </w:pPr>
                      <w:r w:rsidRPr="006077EE">
                        <w:rPr>
                          <w:rFonts w:ascii="Century Gothic" w:hAnsi="Century Gothic"/>
                          <w:color w:val="646482"/>
                          <w:sz w:val="80"/>
                          <w:szCs w:val="80"/>
                          <w:lang w:val="es-ES"/>
                        </w:rPr>
                        <w:t>Módulo Ambiental Económico de la Encuesta Estructural Empresarial (ENESEM), 2020</w:t>
                      </w:r>
                    </w:p>
                  </w:txbxContent>
                </v:textbox>
                <w10:wrap anchorx="margin"/>
              </v:shape>
            </w:pict>
          </mc:Fallback>
        </mc:AlternateContent>
      </w:r>
    </w:p>
    <w:p w14:paraId="2D207F92" w14:textId="6DFCB3B9" w:rsidR="0007659A" w:rsidRDefault="0007659A"/>
    <w:p w14:paraId="47CF1F07" w14:textId="05DD2ECC" w:rsidR="0007659A" w:rsidRDefault="0007659A"/>
    <w:p w14:paraId="6C16430A" w14:textId="1DAA84CC" w:rsidR="0007659A" w:rsidRDefault="0007659A"/>
    <w:p w14:paraId="5C3D4F87" w14:textId="19E9FAFF" w:rsidR="0007659A" w:rsidRDefault="0007659A"/>
    <w:p w14:paraId="01FF7F7D" w14:textId="0B003571" w:rsidR="0007659A" w:rsidRDefault="0007659A"/>
    <w:p w14:paraId="1525CDCE" w14:textId="0488F7F4" w:rsidR="0007659A" w:rsidRDefault="0007659A"/>
    <w:p w14:paraId="66D696C9" w14:textId="1464B347" w:rsidR="0007659A" w:rsidRDefault="0007659A"/>
    <w:p w14:paraId="72BF05F7" w14:textId="528B4040" w:rsidR="0007659A" w:rsidRDefault="0007659A"/>
    <w:p w14:paraId="42CFE2B1" w14:textId="479AA535" w:rsidR="0007659A" w:rsidRDefault="0007659A"/>
    <w:p w14:paraId="5D64EC3E" w14:textId="3F621115" w:rsidR="0007659A" w:rsidRDefault="0007659A"/>
    <w:p w14:paraId="255348D5" w14:textId="746B5F0A" w:rsidR="0007659A" w:rsidRDefault="0007659A"/>
    <w:p w14:paraId="1D0669DC" w14:textId="7A6EDFDF" w:rsidR="0007659A" w:rsidRDefault="0007659A"/>
    <w:p w14:paraId="239C1170" w14:textId="7BAD9BF6" w:rsidR="0007659A" w:rsidRDefault="0007659A"/>
    <w:p w14:paraId="3494C76B" w14:textId="3A642C57" w:rsidR="0007659A" w:rsidRDefault="0007659A"/>
    <w:p w14:paraId="56BC92FD" w14:textId="6542A6A1" w:rsidR="0007659A" w:rsidRDefault="0007659A"/>
    <w:p w14:paraId="4453FCB5" w14:textId="55EF60DF" w:rsidR="0007659A" w:rsidRDefault="0007659A"/>
    <w:p w14:paraId="13B87D17" w14:textId="109C6158" w:rsidR="0007659A" w:rsidRDefault="0007659A"/>
    <w:p w14:paraId="4AB39BA4" w14:textId="134063A2" w:rsidR="0007659A" w:rsidRDefault="0007659A"/>
    <w:p w14:paraId="6E792275" w14:textId="42814BF9" w:rsidR="0007659A" w:rsidRDefault="0007659A"/>
    <w:p w14:paraId="06BEEA44" w14:textId="137D9629" w:rsidR="0007659A" w:rsidRDefault="00F94E0B">
      <w:r>
        <w:rPr>
          <w:noProof/>
          <w:lang w:eastAsia="es-EC"/>
        </w:rPr>
        <mc:AlternateContent>
          <mc:Choice Requires="wps">
            <w:drawing>
              <wp:anchor distT="0" distB="0" distL="114300" distR="114300" simplePos="0" relativeHeight="251673600" behindDoc="0" locked="0" layoutInCell="1" allowOverlap="1" wp14:anchorId="31477524" wp14:editId="53F656F8">
                <wp:simplePos x="0" y="0"/>
                <wp:positionH relativeFrom="margin">
                  <wp:align>center</wp:align>
                </wp:positionH>
                <wp:positionV relativeFrom="paragraph">
                  <wp:posOffset>52574</wp:posOffset>
                </wp:positionV>
                <wp:extent cx="2208530" cy="493395"/>
                <wp:effectExtent l="0" t="0" r="1270" b="1905"/>
                <wp:wrapNone/>
                <wp:docPr id="7" name="Cuadro de texto 7"/>
                <wp:cNvGraphicFramePr/>
                <a:graphic xmlns:a="http://schemas.openxmlformats.org/drawingml/2006/main">
                  <a:graphicData uri="http://schemas.microsoft.com/office/word/2010/wordprocessingShape">
                    <wps:wsp>
                      <wps:cNvSpPr txBox="1"/>
                      <wps:spPr>
                        <a:xfrm>
                          <a:off x="0" y="0"/>
                          <a:ext cx="2208530" cy="493395"/>
                        </a:xfrm>
                        <a:prstGeom prst="roundRect">
                          <a:avLst>
                            <a:gd name="adj" fmla="val 50000"/>
                          </a:avLst>
                        </a:prstGeom>
                        <a:solidFill>
                          <a:schemeClr val="accent6">
                            <a:lumMod val="40000"/>
                            <a:lumOff val="60000"/>
                          </a:schemeClr>
                        </a:solidFill>
                        <a:ln w="6350">
                          <a:noFill/>
                        </a:ln>
                      </wps:spPr>
                      <wps:txbx>
                        <w:txbxContent>
                          <w:p w14:paraId="5C48A8F1" w14:textId="4EACD04E" w:rsidR="00F94E0B" w:rsidRPr="00732090" w:rsidRDefault="007F28E4" w:rsidP="00F94E0B">
                            <w:pPr>
                              <w:jc w:val="center"/>
                              <w:rPr>
                                <w:rFonts w:ascii="Century Gothic" w:hAnsi="Century Gothic"/>
                                <w:color w:val="FFFFFF" w:themeColor="background1"/>
                                <w:sz w:val="44"/>
                                <w:szCs w:val="44"/>
                                <w:lang w:val="es-ES"/>
                              </w:rPr>
                            </w:pPr>
                            <w:r>
                              <w:rPr>
                                <w:rFonts w:ascii="Century Gothic" w:hAnsi="Century Gothic"/>
                                <w:color w:val="FFFFFF" w:themeColor="background1"/>
                                <w:sz w:val="44"/>
                                <w:szCs w:val="44"/>
                                <w:lang w:val="es-ES"/>
                              </w:rPr>
                              <w:t>Mayo</w:t>
                            </w:r>
                            <w:r w:rsidR="00F94E0B" w:rsidRPr="00732090">
                              <w:rPr>
                                <w:rFonts w:ascii="Century Gothic" w:hAnsi="Century Gothic"/>
                                <w:color w:val="FFFFFF" w:themeColor="background1"/>
                                <w:sz w:val="44"/>
                                <w:szCs w:val="44"/>
                                <w:lang w:val="es-ES"/>
                              </w:rPr>
                              <w:t xml:space="preserve">, </w:t>
                            </w:r>
                            <w:r w:rsidR="00F94E0B">
                              <w:rPr>
                                <w:rFonts w:ascii="Century Gothic" w:hAnsi="Century Gothic"/>
                                <w:color w:val="FFFFFF" w:themeColor="background1"/>
                                <w:sz w:val="44"/>
                                <w:szCs w:val="44"/>
                                <w:lang w:val="es-ES"/>
                              </w:rPr>
                              <w:t>2022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1477524" id="Cuadro de texto 7" o:spid="_x0000_s1028" style="position:absolute;margin-left:0;margin-top:4.15pt;width:173.9pt;height:38.85pt;z-index:2516736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" fillcolor="#c5e0b3 [1305]" stroked="f" strokeweight=".5pt">
                <v:textbox inset="0,0,0,0">
                  <w:txbxContent>
                    <w:p w14:paraId="5C48A8F1" w14:textId="4EACD04E" w:rsidR="00F94E0B" w:rsidRPr="00732090" w:rsidRDefault="007F28E4" w:rsidP="00F94E0B">
                      <w:pPr>
                        <w:jc w:val="center"/>
                        <w:rPr>
                          <w:rFonts w:ascii="Century Gothic" w:hAnsi="Century Gothic"/>
                          <w:color w:val="FFFFFF" w:themeColor="background1"/>
                          <w:sz w:val="44"/>
                          <w:szCs w:val="44"/>
                          <w:lang w:val="es-ES"/>
                        </w:rPr>
                      </w:pPr>
                      <w:r>
                        <w:rPr>
                          <w:rFonts w:ascii="Century Gothic" w:hAnsi="Century Gothic"/>
                          <w:color w:val="FFFFFF" w:themeColor="background1"/>
                          <w:sz w:val="44"/>
                          <w:szCs w:val="44"/>
                          <w:lang w:val="es-ES"/>
                        </w:rPr>
                        <w:t>Mayo</w:t>
                      </w:r>
                      <w:r w:rsidR="00F94E0B" w:rsidRPr="00732090">
                        <w:rPr>
                          <w:rFonts w:ascii="Century Gothic" w:hAnsi="Century Gothic"/>
                          <w:color w:val="FFFFFF" w:themeColor="background1"/>
                          <w:sz w:val="44"/>
                          <w:szCs w:val="44"/>
                          <w:lang w:val="es-ES"/>
                        </w:rPr>
                        <w:t xml:space="preserve">, </w:t>
                      </w:r>
                      <w:r w:rsidR="00F94E0B">
                        <w:rPr>
                          <w:rFonts w:ascii="Century Gothic" w:hAnsi="Century Gothic"/>
                          <w:color w:val="FFFFFF" w:themeColor="background1"/>
                          <w:sz w:val="44"/>
                          <w:szCs w:val="44"/>
                          <w:lang w:val="es-ES"/>
                        </w:rPr>
                        <w:t>2022</w:t>
                      </w:r>
                    </w:p>
                  </w:txbxContent>
                </v:textbox>
                <w10:wrap anchorx="margin"/>
              </v:roundrect>
            </w:pict>
          </mc:Fallback>
        </mc:AlternateContent>
      </w:r>
    </w:p>
    <w:p w14:paraId="2D03E2F6" w14:textId="5EE482DD" w:rsidR="0007659A" w:rsidRDefault="0007659A"/>
    <w:p w14:paraId="30181CBB" w14:textId="6ED243BD" w:rsidR="0007659A" w:rsidRDefault="0007659A"/>
    <w:p w14:paraId="7B8CB58F" w14:textId="399E2807" w:rsidR="0007659A" w:rsidRDefault="0007659A"/>
    <w:p w14:paraId="7F68AF54" w14:textId="68C74864" w:rsidR="0007659A" w:rsidRDefault="0007659A"/>
    <w:p w14:paraId="251ED285" w14:textId="0E668ED2" w:rsidR="0007659A" w:rsidRDefault="0007659A"/>
    <w:p w14:paraId="0CAA9E66" w14:textId="44A60599" w:rsidR="008F4FFB" w:rsidRPr="008F4FFB" w:rsidRDefault="008F4FFB">
      <w:r>
        <w:rPr>
          <w:rFonts w:ascii="Century Gothic" w:eastAsiaTheme="majorEastAsia" w:hAnsi="Century Gothic" w:cstheme="majorBidi"/>
          <w:b/>
          <w:bCs/>
          <w:color w:val="2F5496" w:themeColor="accent1" w:themeShade="BF"/>
          <w:sz w:val="28"/>
          <w:szCs w:val="28"/>
          <w:lang w:val="es-ES" w:eastAsia="es-ES" w:bidi="es-ES"/>
        </w:rPr>
        <w:br w:type="page"/>
      </w:r>
    </w:p>
    <w:p w14:paraId="650DDB90" w14:textId="77777777" w:rsidR="008F4FFB" w:rsidRDefault="008F4FFB">
      <w:pPr>
        <w:rPr>
          <w:rFonts w:ascii="Century Gothic" w:eastAsiaTheme="majorEastAsia" w:hAnsi="Century Gothic" w:cstheme="majorBidi"/>
          <w:b/>
          <w:bCs/>
          <w:color w:val="2F5496" w:themeColor="accent1" w:themeShade="BF"/>
          <w:sz w:val="28"/>
          <w:szCs w:val="28"/>
          <w:lang w:val="es-ES" w:eastAsia="es-ES" w:bidi="es-ES"/>
        </w:rPr>
      </w:pPr>
    </w:p>
    <w:sdt>
      <w:sdtPr>
        <w:rPr>
          <w:rFonts w:ascii="Century Gothic" w:eastAsia="Century Gothic" w:hAnsi="Century Gothic" w:cs="Century Gothic"/>
          <w:color w:val="auto"/>
          <w:sz w:val="22"/>
          <w:szCs w:val="22"/>
          <w:lang w:val="es-ES" w:eastAsia="es-ES" w:bidi="es-ES"/>
        </w:rPr>
        <w:id w:val="-2142484083"/>
        <w:docPartObj>
          <w:docPartGallery w:val="Table of Contents"/>
          <w:docPartUnique/>
        </w:docPartObj>
      </w:sdtPr>
      <w:sdtEndPr>
        <w:rPr>
          <w:rFonts w:asciiTheme="minorHAnsi" w:eastAsiaTheme="minorHAnsi" w:hAnsiTheme="minorHAnsi" w:cstheme="minorBidi"/>
          <w:b/>
          <w:bCs/>
          <w:sz w:val="24"/>
          <w:szCs w:val="24"/>
          <w:lang w:val="es-EC" w:eastAsia="en-US" w:bidi="ar-SA"/>
        </w:rPr>
      </w:sdtEndPr>
      <w:sdtContent>
        <w:p w14:paraId="7AE94CF8" w14:textId="77777777" w:rsidR="00826E44" w:rsidRPr="00F94E0B" w:rsidRDefault="00826E44" w:rsidP="00826E44">
          <w:pPr>
            <w:pStyle w:val="TtulodeTDC"/>
            <w:rPr>
              <w:b/>
              <w:color w:val="767171" w:themeColor="background2" w:themeShade="80"/>
              <w:lang w:val="es-ES"/>
            </w:rPr>
          </w:pPr>
          <w:r w:rsidRPr="00F94E0B">
            <w:rPr>
              <w:b/>
              <w:color w:val="767171" w:themeColor="background2" w:themeShade="80"/>
              <w:lang w:val="es-ES"/>
            </w:rPr>
            <w:t>Índice de Contenidos</w:t>
          </w:r>
        </w:p>
        <w:p w14:paraId="633ABA02" w14:textId="77777777" w:rsidR="00826E44" w:rsidRPr="00E93839" w:rsidRDefault="00826E44" w:rsidP="00826E44">
          <w:pPr>
            <w:rPr>
              <w:lang w:val="es-ES" w:eastAsia="es-PR"/>
            </w:rPr>
          </w:pPr>
        </w:p>
        <w:p w14:paraId="5AD3CC60" w14:textId="53F6F996" w:rsidR="00A56265" w:rsidRDefault="00826E44">
          <w:pPr>
            <w:pStyle w:val="TDC1"/>
            <w:tabs>
              <w:tab w:val="right" w:leader="dot" w:pos="8488"/>
            </w:tabs>
            <w:rPr>
              <w:rFonts w:asciiTheme="minorHAnsi" w:eastAsiaTheme="minorEastAsia" w:hAnsiTheme="minorHAnsi" w:cstheme="minorBidi"/>
              <w:noProof/>
              <w:lang w:val="es-EC" w:eastAsia="es-EC" w:bidi="ar-SA"/>
            </w:rPr>
          </w:pPr>
          <w:r>
            <w:fldChar w:fldCharType="begin"/>
          </w:r>
          <w:r>
            <w:instrText xml:space="preserve"> TOC \o "1-3" \h \z \u </w:instrText>
          </w:r>
          <w:r>
            <w:fldChar w:fldCharType="separate"/>
          </w:r>
          <w:hyperlink w:anchor="_Toc101364187" w:history="1">
            <w:r w:rsidR="00A56265" w:rsidRPr="00F11F7A">
              <w:rPr>
                <w:rStyle w:val="Hipervnculo"/>
                <w:rFonts w:eastAsiaTheme="minorHAnsi"/>
                <w:noProof/>
                <w:color w:val="023160" w:themeColor="hyperlink" w:themeShade="80"/>
                <w:lang w:val="es-EC" w:eastAsia="en-US"/>
              </w:rPr>
              <w:t>Introducción</w:t>
            </w:r>
            <w:r w:rsidR="00A56265">
              <w:rPr>
                <w:noProof/>
                <w:webHidden/>
              </w:rPr>
              <w:tab/>
            </w:r>
            <w:r w:rsidR="00A56265">
              <w:rPr>
                <w:noProof/>
                <w:webHidden/>
              </w:rPr>
              <w:fldChar w:fldCharType="begin"/>
            </w:r>
            <w:r w:rsidR="00A56265">
              <w:rPr>
                <w:noProof/>
                <w:webHidden/>
              </w:rPr>
              <w:instrText xml:space="preserve"> PAGEREF _Toc101364187 \h </w:instrText>
            </w:r>
            <w:r w:rsidR="00A56265">
              <w:rPr>
                <w:noProof/>
                <w:webHidden/>
              </w:rPr>
            </w:r>
            <w:r w:rsidR="00A56265">
              <w:rPr>
                <w:noProof/>
                <w:webHidden/>
              </w:rPr>
              <w:fldChar w:fldCharType="separate"/>
            </w:r>
            <w:r w:rsidR="00A56265">
              <w:rPr>
                <w:noProof/>
                <w:webHidden/>
              </w:rPr>
              <w:t>4</w:t>
            </w:r>
            <w:r w:rsidR="00A56265">
              <w:rPr>
                <w:noProof/>
                <w:webHidden/>
              </w:rPr>
              <w:fldChar w:fldCharType="end"/>
            </w:r>
          </w:hyperlink>
        </w:p>
        <w:p w14:paraId="0A545BDD" w14:textId="73C9F4C6" w:rsidR="00A56265" w:rsidRDefault="000152AD">
          <w:pPr>
            <w:pStyle w:val="TDC1"/>
            <w:tabs>
              <w:tab w:val="right" w:leader="dot" w:pos="8488"/>
            </w:tabs>
            <w:rPr>
              <w:rFonts w:asciiTheme="minorHAnsi" w:eastAsiaTheme="minorEastAsia" w:hAnsiTheme="minorHAnsi" w:cstheme="minorBidi"/>
              <w:noProof/>
              <w:lang w:val="es-EC" w:eastAsia="es-EC" w:bidi="ar-SA"/>
            </w:rPr>
          </w:pPr>
          <w:hyperlink w:anchor="_Toc101364188" w:history="1">
            <w:r w:rsidR="00A56265" w:rsidRPr="00F11F7A">
              <w:rPr>
                <w:rStyle w:val="Hipervnculo"/>
                <w:rFonts w:eastAsiaTheme="minorHAnsi"/>
                <w:noProof/>
                <w:color w:val="023160" w:themeColor="hyperlink" w:themeShade="80"/>
                <w:lang w:val="es-EC" w:eastAsia="en-US"/>
              </w:rPr>
              <w:t>Requisitos técnicos</w:t>
            </w:r>
            <w:r w:rsidR="00A56265">
              <w:rPr>
                <w:noProof/>
                <w:webHidden/>
              </w:rPr>
              <w:tab/>
            </w:r>
            <w:r w:rsidR="00A56265">
              <w:rPr>
                <w:noProof/>
                <w:webHidden/>
              </w:rPr>
              <w:fldChar w:fldCharType="begin"/>
            </w:r>
            <w:r w:rsidR="00A56265">
              <w:rPr>
                <w:noProof/>
                <w:webHidden/>
              </w:rPr>
              <w:instrText xml:space="preserve"> PAGEREF _Toc101364188 \h </w:instrText>
            </w:r>
            <w:r w:rsidR="00A56265">
              <w:rPr>
                <w:noProof/>
                <w:webHidden/>
              </w:rPr>
            </w:r>
            <w:r w:rsidR="00A56265">
              <w:rPr>
                <w:noProof/>
                <w:webHidden/>
              </w:rPr>
              <w:fldChar w:fldCharType="separate"/>
            </w:r>
            <w:r w:rsidR="00A56265">
              <w:rPr>
                <w:noProof/>
                <w:webHidden/>
              </w:rPr>
              <w:t>4</w:t>
            </w:r>
            <w:r w:rsidR="00A56265">
              <w:rPr>
                <w:noProof/>
                <w:webHidden/>
              </w:rPr>
              <w:fldChar w:fldCharType="end"/>
            </w:r>
          </w:hyperlink>
        </w:p>
        <w:p w14:paraId="6154F0B8" w14:textId="16342FDF" w:rsidR="00A56265" w:rsidRDefault="000152AD">
          <w:pPr>
            <w:pStyle w:val="TDC1"/>
            <w:tabs>
              <w:tab w:val="right" w:leader="dot" w:pos="8488"/>
            </w:tabs>
            <w:rPr>
              <w:rFonts w:asciiTheme="minorHAnsi" w:eastAsiaTheme="minorEastAsia" w:hAnsiTheme="minorHAnsi" w:cstheme="minorBidi"/>
              <w:noProof/>
              <w:lang w:val="es-EC" w:eastAsia="es-EC" w:bidi="ar-SA"/>
            </w:rPr>
          </w:pPr>
          <w:hyperlink w:anchor="_Toc101364189" w:history="1">
            <w:r w:rsidR="00A56265" w:rsidRPr="00F11F7A">
              <w:rPr>
                <w:rStyle w:val="Hipervnculo"/>
                <w:rFonts w:eastAsiaTheme="minorHAnsi"/>
                <w:noProof/>
                <w:color w:val="023160" w:themeColor="hyperlink" w:themeShade="80"/>
                <w:lang w:val="es-EC" w:eastAsia="en-US"/>
              </w:rPr>
              <w:t>Resumen metodológico y alcance de los datos</w:t>
            </w:r>
            <w:r w:rsidR="00A56265">
              <w:rPr>
                <w:noProof/>
                <w:webHidden/>
              </w:rPr>
              <w:tab/>
            </w:r>
            <w:r w:rsidR="00A56265">
              <w:rPr>
                <w:noProof/>
                <w:webHidden/>
              </w:rPr>
              <w:fldChar w:fldCharType="begin"/>
            </w:r>
            <w:r w:rsidR="00A56265">
              <w:rPr>
                <w:noProof/>
                <w:webHidden/>
              </w:rPr>
              <w:instrText xml:space="preserve"> PAGEREF _Toc101364189 \h </w:instrText>
            </w:r>
            <w:r w:rsidR="00A56265">
              <w:rPr>
                <w:noProof/>
                <w:webHidden/>
              </w:rPr>
            </w:r>
            <w:r w:rsidR="00A56265">
              <w:rPr>
                <w:noProof/>
                <w:webHidden/>
              </w:rPr>
              <w:fldChar w:fldCharType="separate"/>
            </w:r>
            <w:r w:rsidR="00A56265">
              <w:rPr>
                <w:noProof/>
                <w:webHidden/>
              </w:rPr>
              <w:t>4</w:t>
            </w:r>
            <w:r w:rsidR="00A56265">
              <w:rPr>
                <w:noProof/>
                <w:webHidden/>
              </w:rPr>
              <w:fldChar w:fldCharType="end"/>
            </w:r>
          </w:hyperlink>
        </w:p>
        <w:p w14:paraId="12A3AEF8" w14:textId="0F38F9AB" w:rsidR="00A56265" w:rsidRDefault="000152AD">
          <w:pPr>
            <w:pStyle w:val="TDC1"/>
            <w:tabs>
              <w:tab w:val="right" w:leader="dot" w:pos="8488"/>
            </w:tabs>
            <w:rPr>
              <w:rFonts w:asciiTheme="minorHAnsi" w:eastAsiaTheme="minorEastAsia" w:hAnsiTheme="minorHAnsi" w:cstheme="minorBidi"/>
              <w:noProof/>
              <w:lang w:val="es-EC" w:eastAsia="es-EC" w:bidi="ar-SA"/>
            </w:rPr>
          </w:pPr>
          <w:hyperlink w:anchor="_Toc101364190" w:history="1">
            <w:r w:rsidR="00A56265" w:rsidRPr="00F11F7A">
              <w:rPr>
                <w:rStyle w:val="Hipervnculo"/>
                <w:rFonts w:eastAsiaTheme="minorHAnsi"/>
                <w:noProof/>
                <w:color w:val="023160" w:themeColor="hyperlink" w:themeShade="80"/>
                <w:lang w:val="es-EC" w:eastAsia="en-US"/>
              </w:rPr>
              <w:t>Variables de diseño de la muestra</w:t>
            </w:r>
            <w:r w:rsidR="00A56265">
              <w:rPr>
                <w:noProof/>
                <w:webHidden/>
              </w:rPr>
              <w:tab/>
            </w:r>
            <w:r w:rsidR="00A56265">
              <w:rPr>
                <w:noProof/>
                <w:webHidden/>
              </w:rPr>
              <w:fldChar w:fldCharType="begin"/>
            </w:r>
            <w:r w:rsidR="00A56265">
              <w:rPr>
                <w:noProof/>
                <w:webHidden/>
              </w:rPr>
              <w:instrText xml:space="preserve"> PAGEREF _Toc101364190 \h </w:instrText>
            </w:r>
            <w:r w:rsidR="00A56265">
              <w:rPr>
                <w:noProof/>
                <w:webHidden/>
              </w:rPr>
            </w:r>
            <w:r w:rsidR="00A56265">
              <w:rPr>
                <w:noProof/>
                <w:webHidden/>
              </w:rPr>
              <w:fldChar w:fldCharType="separate"/>
            </w:r>
            <w:r w:rsidR="00A56265">
              <w:rPr>
                <w:noProof/>
                <w:webHidden/>
              </w:rPr>
              <w:t>6</w:t>
            </w:r>
            <w:r w:rsidR="00A56265">
              <w:rPr>
                <w:noProof/>
                <w:webHidden/>
              </w:rPr>
              <w:fldChar w:fldCharType="end"/>
            </w:r>
          </w:hyperlink>
        </w:p>
        <w:p w14:paraId="2C7C17B1" w14:textId="25A8D4C2" w:rsidR="00A56265" w:rsidRDefault="000152AD">
          <w:pPr>
            <w:pStyle w:val="TDC1"/>
            <w:tabs>
              <w:tab w:val="right" w:leader="dot" w:pos="8488"/>
            </w:tabs>
            <w:rPr>
              <w:rFonts w:asciiTheme="minorHAnsi" w:eastAsiaTheme="minorEastAsia" w:hAnsiTheme="minorHAnsi" w:cstheme="minorBidi"/>
              <w:noProof/>
              <w:lang w:val="es-EC" w:eastAsia="es-EC" w:bidi="ar-SA"/>
            </w:rPr>
          </w:pPr>
          <w:hyperlink w:anchor="_Toc101364191" w:history="1">
            <w:r w:rsidR="00A56265" w:rsidRPr="00F11F7A">
              <w:rPr>
                <w:rStyle w:val="Hipervnculo"/>
                <w:rFonts w:eastAsiaTheme="minorHAnsi"/>
                <w:noProof/>
                <w:color w:val="023160" w:themeColor="hyperlink" w:themeShade="80"/>
                <w:lang w:val="es-EC" w:eastAsia="en-US"/>
              </w:rPr>
              <w:t>Variables de la BDD del Módulo Ambiental de la ENESEM 2020 y su uso</w:t>
            </w:r>
            <w:r w:rsidR="00A56265">
              <w:rPr>
                <w:noProof/>
                <w:webHidden/>
              </w:rPr>
              <w:tab/>
            </w:r>
            <w:r w:rsidR="00A56265">
              <w:rPr>
                <w:noProof/>
                <w:webHidden/>
              </w:rPr>
              <w:fldChar w:fldCharType="begin"/>
            </w:r>
            <w:r w:rsidR="00A56265">
              <w:rPr>
                <w:noProof/>
                <w:webHidden/>
              </w:rPr>
              <w:instrText xml:space="preserve"> PAGEREF _Toc101364191 \h </w:instrText>
            </w:r>
            <w:r w:rsidR="00A56265">
              <w:rPr>
                <w:noProof/>
                <w:webHidden/>
              </w:rPr>
            </w:r>
            <w:r w:rsidR="00A56265">
              <w:rPr>
                <w:noProof/>
                <w:webHidden/>
              </w:rPr>
              <w:fldChar w:fldCharType="separate"/>
            </w:r>
            <w:r w:rsidR="00A56265">
              <w:rPr>
                <w:noProof/>
                <w:webHidden/>
              </w:rPr>
              <w:t>7</w:t>
            </w:r>
            <w:r w:rsidR="00A56265">
              <w:rPr>
                <w:noProof/>
                <w:webHidden/>
              </w:rPr>
              <w:fldChar w:fldCharType="end"/>
            </w:r>
          </w:hyperlink>
        </w:p>
        <w:p w14:paraId="2FA5B299" w14:textId="482AE6F8" w:rsidR="00A56265" w:rsidRDefault="000152AD">
          <w:pPr>
            <w:pStyle w:val="TDC1"/>
            <w:tabs>
              <w:tab w:val="right" w:leader="dot" w:pos="8488"/>
            </w:tabs>
            <w:rPr>
              <w:rFonts w:asciiTheme="minorHAnsi" w:eastAsiaTheme="minorEastAsia" w:hAnsiTheme="minorHAnsi" w:cstheme="minorBidi"/>
              <w:noProof/>
              <w:lang w:val="es-EC" w:eastAsia="es-EC" w:bidi="ar-SA"/>
            </w:rPr>
          </w:pPr>
          <w:hyperlink w:anchor="_Toc101364192" w:history="1">
            <w:r w:rsidR="00A56265" w:rsidRPr="00F11F7A">
              <w:rPr>
                <w:rStyle w:val="Hipervnculo"/>
                <w:rFonts w:eastAsiaTheme="minorHAnsi"/>
                <w:noProof/>
                <w:color w:val="023160" w:themeColor="hyperlink" w:themeShade="80"/>
                <w:lang w:val="es-EC" w:eastAsia="en-US"/>
              </w:rPr>
              <w:t>Recomendaciones generales previas al procesamiento de la BDD del Módulo Ambiental de la ENESEM 2020</w:t>
            </w:r>
            <w:r w:rsidR="00A56265">
              <w:rPr>
                <w:noProof/>
                <w:webHidden/>
              </w:rPr>
              <w:tab/>
            </w:r>
            <w:r w:rsidR="00A56265">
              <w:rPr>
                <w:noProof/>
                <w:webHidden/>
              </w:rPr>
              <w:fldChar w:fldCharType="begin"/>
            </w:r>
            <w:r w:rsidR="00A56265">
              <w:rPr>
                <w:noProof/>
                <w:webHidden/>
              </w:rPr>
              <w:instrText xml:space="preserve"> PAGEREF _Toc101364192 \h </w:instrText>
            </w:r>
            <w:r w:rsidR="00A56265">
              <w:rPr>
                <w:noProof/>
                <w:webHidden/>
              </w:rPr>
            </w:r>
            <w:r w:rsidR="00A56265">
              <w:rPr>
                <w:noProof/>
                <w:webHidden/>
              </w:rPr>
              <w:fldChar w:fldCharType="separate"/>
            </w:r>
            <w:r w:rsidR="00A56265">
              <w:rPr>
                <w:noProof/>
                <w:webHidden/>
              </w:rPr>
              <w:t>11</w:t>
            </w:r>
            <w:r w:rsidR="00A56265">
              <w:rPr>
                <w:noProof/>
                <w:webHidden/>
              </w:rPr>
              <w:fldChar w:fldCharType="end"/>
            </w:r>
          </w:hyperlink>
        </w:p>
        <w:p w14:paraId="7C8D26EE" w14:textId="02C1747F" w:rsidR="008F4FFB" w:rsidRDefault="00826E44" w:rsidP="00826E44">
          <w:pPr>
            <w:rPr>
              <w:b/>
              <w:bCs/>
            </w:rPr>
          </w:pPr>
          <w:r>
            <w:rPr>
              <w:b/>
              <w:bCs/>
            </w:rPr>
            <w:fldChar w:fldCharType="end"/>
          </w:r>
        </w:p>
      </w:sdtContent>
    </w:sdt>
    <w:p w14:paraId="3A882503" w14:textId="4DB38F4C" w:rsidR="00826E44" w:rsidRPr="008F4FFB" w:rsidRDefault="00826E44" w:rsidP="00826E44">
      <w:pPr>
        <w:rPr>
          <w:b/>
          <w:bCs/>
        </w:rPr>
      </w:pPr>
      <w:r>
        <w:rPr>
          <w:rFonts w:cs="Calibri"/>
          <w:b/>
          <w:color w:val="2D4B88"/>
          <w:sz w:val="28"/>
        </w:rPr>
        <w:br w:type="page"/>
      </w:r>
    </w:p>
    <w:p w14:paraId="1400AAC0" w14:textId="77777777" w:rsidR="00826E44" w:rsidRPr="00F94E0B" w:rsidRDefault="00826E44" w:rsidP="00826E44">
      <w:pPr>
        <w:pStyle w:val="TtulodeTDC"/>
        <w:rPr>
          <w:b/>
          <w:color w:val="767171" w:themeColor="background2" w:themeShade="80"/>
          <w:lang w:val="es-ES"/>
        </w:rPr>
      </w:pPr>
      <w:r w:rsidRPr="00F94E0B">
        <w:rPr>
          <w:b/>
          <w:color w:val="767171" w:themeColor="background2" w:themeShade="80"/>
          <w:lang w:val="es-ES"/>
        </w:rPr>
        <w:lastRenderedPageBreak/>
        <w:t>Índice de Figuras</w:t>
      </w:r>
    </w:p>
    <w:p w14:paraId="78A3463D" w14:textId="77777777" w:rsidR="00826E44" w:rsidRDefault="00826E44" w:rsidP="00826E44">
      <w:pPr>
        <w:pStyle w:val="Tabladeilustraciones"/>
        <w:tabs>
          <w:tab w:val="right" w:leader="hyphen" w:pos="8488"/>
        </w:tabs>
        <w:rPr>
          <w:rFonts w:cs="Calibri"/>
          <w:b/>
          <w:color w:val="2D4B88"/>
          <w:sz w:val="28"/>
        </w:rPr>
      </w:pPr>
    </w:p>
    <w:p w14:paraId="0A67E774" w14:textId="38BED557" w:rsidR="00A56265" w:rsidRDefault="00826E44">
      <w:pPr>
        <w:pStyle w:val="Tabladeilustraciones"/>
        <w:tabs>
          <w:tab w:val="right" w:leader="hyphen" w:pos="8488"/>
        </w:tabs>
        <w:rPr>
          <w:rFonts w:asciiTheme="minorHAnsi" w:eastAsiaTheme="minorEastAsia" w:hAnsiTheme="minorHAnsi" w:cstheme="minorBidi"/>
          <w:noProof/>
          <w:lang w:val="es-EC" w:eastAsia="es-EC" w:bidi="ar-SA"/>
        </w:rPr>
      </w:pPr>
      <w:r>
        <w:rPr>
          <w:rFonts w:cs="Calibri"/>
          <w:b/>
          <w:color w:val="2D4B88"/>
          <w:sz w:val="28"/>
        </w:rPr>
        <w:fldChar w:fldCharType="begin"/>
      </w:r>
      <w:r>
        <w:rPr>
          <w:rFonts w:cs="Calibri"/>
          <w:b/>
          <w:color w:val="2D4B88"/>
          <w:sz w:val="28"/>
        </w:rPr>
        <w:instrText xml:space="preserve"> TOC \h \z \c "Figura" </w:instrText>
      </w:r>
      <w:r>
        <w:rPr>
          <w:rFonts w:cs="Calibri"/>
          <w:b/>
          <w:color w:val="2D4B88"/>
          <w:sz w:val="28"/>
        </w:rPr>
        <w:fldChar w:fldCharType="separate"/>
      </w:r>
      <w:hyperlink w:anchor="_Toc101364163" w:history="1">
        <w:r w:rsidR="00A56265" w:rsidRPr="00647472">
          <w:rPr>
            <w:rStyle w:val="Hipervnculo"/>
            <w:b/>
            <w:bCs/>
            <w:noProof/>
          </w:rPr>
          <w:t>Figura 1.</w:t>
        </w:r>
        <w:r w:rsidR="00A56265" w:rsidRPr="00647472">
          <w:rPr>
            <w:rStyle w:val="Hipervnculo"/>
            <w:rFonts w:cs="Calibri"/>
            <w:noProof/>
          </w:rPr>
          <w:t xml:space="preserve"> Ficha técnica del MA de la ENESEM 2020</w:t>
        </w:r>
        <w:r w:rsidR="00A56265">
          <w:rPr>
            <w:noProof/>
            <w:webHidden/>
          </w:rPr>
          <w:tab/>
        </w:r>
        <w:r w:rsidR="00A56265">
          <w:rPr>
            <w:noProof/>
            <w:webHidden/>
          </w:rPr>
          <w:fldChar w:fldCharType="begin"/>
        </w:r>
        <w:r w:rsidR="00A56265">
          <w:rPr>
            <w:noProof/>
            <w:webHidden/>
          </w:rPr>
          <w:instrText xml:space="preserve"> PAGEREF _Toc101364163 \h </w:instrText>
        </w:r>
        <w:r w:rsidR="00A56265">
          <w:rPr>
            <w:noProof/>
            <w:webHidden/>
          </w:rPr>
        </w:r>
        <w:r w:rsidR="00A56265">
          <w:rPr>
            <w:noProof/>
            <w:webHidden/>
          </w:rPr>
          <w:fldChar w:fldCharType="separate"/>
        </w:r>
        <w:r w:rsidR="00A56265">
          <w:rPr>
            <w:noProof/>
            <w:webHidden/>
          </w:rPr>
          <w:t>4</w:t>
        </w:r>
        <w:r w:rsidR="00A56265">
          <w:rPr>
            <w:noProof/>
            <w:webHidden/>
          </w:rPr>
          <w:fldChar w:fldCharType="end"/>
        </w:r>
      </w:hyperlink>
    </w:p>
    <w:p w14:paraId="272F38EF" w14:textId="4F26FBD2" w:rsidR="00826E44" w:rsidRPr="00144CD1" w:rsidRDefault="00826E44" w:rsidP="00826E44">
      <w:pPr>
        <w:outlineLvl w:val="0"/>
        <w:rPr>
          <w:rFonts w:cs="Calibri"/>
          <w:b/>
          <w:color w:val="2D4B88"/>
          <w:sz w:val="28"/>
        </w:rPr>
      </w:pPr>
      <w:r>
        <w:rPr>
          <w:rFonts w:cs="Calibri"/>
          <w:b/>
          <w:color w:val="2D4B88"/>
          <w:sz w:val="28"/>
        </w:rPr>
        <w:fldChar w:fldCharType="end"/>
      </w:r>
    </w:p>
    <w:p w14:paraId="59A7DD6C" w14:textId="7CA2CA31" w:rsidR="00826E44" w:rsidRDefault="00826E44" w:rsidP="00826E44"/>
    <w:p w14:paraId="0C33A2EE" w14:textId="77777777" w:rsidR="007D3081" w:rsidRDefault="007D3081" w:rsidP="00826E44"/>
    <w:p w14:paraId="33FE31F2" w14:textId="77777777" w:rsidR="007D3081" w:rsidRDefault="007D3081" w:rsidP="00826E44"/>
    <w:p w14:paraId="7BFB4655" w14:textId="77777777" w:rsidR="00C021A2" w:rsidRDefault="00C021A2" w:rsidP="00826E44"/>
    <w:p w14:paraId="70040BBF" w14:textId="77777777" w:rsidR="00C021A2" w:rsidRDefault="00C021A2" w:rsidP="00826E44"/>
    <w:p w14:paraId="66439DEA" w14:textId="77777777" w:rsidR="00C021A2" w:rsidRDefault="00C021A2" w:rsidP="00826E44"/>
    <w:p w14:paraId="4B0DF9D7" w14:textId="77777777" w:rsidR="00C021A2" w:rsidRDefault="00C021A2" w:rsidP="00826E44"/>
    <w:p w14:paraId="72369328" w14:textId="77777777" w:rsidR="00C021A2" w:rsidRDefault="00C021A2" w:rsidP="00826E44"/>
    <w:p w14:paraId="39CECE35" w14:textId="77777777" w:rsidR="007D3081" w:rsidRDefault="007D3081" w:rsidP="00826E44"/>
    <w:p w14:paraId="4DC9910F" w14:textId="77777777" w:rsidR="007D3081" w:rsidRDefault="007D3081" w:rsidP="00826E44"/>
    <w:p w14:paraId="48CEC311" w14:textId="77777777" w:rsidR="007D3081" w:rsidRDefault="007D3081" w:rsidP="00826E44">
      <w:pPr>
        <w:rPr>
          <w:rFonts w:eastAsiaTheme="majorEastAsia" w:cstheme="majorBidi"/>
          <w:b/>
          <w:bCs/>
          <w:color w:val="2F5496" w:themeColor="accent1" w:themeShade="BF"/>
          <w:sz w:val="28"/>
          <w:szCs w:val="28"/>
        </w:rPr>
      </w:pPr>
    </w:p>
    <w:p w14:paraId="17E665B5" w14:textId="77777777" w:rsidR="00826E44" w:rsidRPr="00F94E0B" w:rsidRDefault="00826E44" w:rsidP="00826E44">
      <w:pPr>
        <w:pStyle w:val="TtulodeTDC"/>
        <w:rPr>
          <w:b/>
          <w:color w:val="767171" w:themeColor="background2" w:themeShade="80"/>
          <w:lang w:val="es-ES"/>
        </w:rPr>
      </w:pPr>
      <w:r w:rsidRPr="00F94E0B">
        <w:rPr>
          <w:b/>
          <w:color w:val="767171" w:themeColor="background2" w:themeShade="80"/>
          <w:lang w:val="es-ES"/>
        </w:rPr>
        <w:t>Índice de Tablas</w:t>
      </w:r>
    </w:p>
    <w:p w14:paraId="7CD892B0" w14:textId="77777777" w:rsidR="00826E44" w:rsidRDefault="00826E44" w:rsidP="00826E44">
      <w:pPr>
        <w:pStyle w:val="Tabladeilustraciones"/>
        <w:tabs>
          <w:tab w:val="right" w:leader="dot" w:pos="8488"/>
        </w:tabs>
        <w:rPr>
          <w:rFonts w:eastAsiaTheme="majorEastAsia" w:cstheme="majorBidi"/>
          <w:b/>
          <w:bCs/>
          <w:color w:val="2F5496" w:themeColor="accent1" w:themeShade="BF"/>
          <w:sz w:val="28"/>
          <w:szCs w:val="28"/>
        </w:rPr>
      </w:pPr>
    </w:p>
    <w:p w14:paraId="729B0363" w14:textId="4F2B8978" w:rsidR="00A56265" w:rsidRDefault="00826E44">
      <w:pPr>
        <w:pStyle w:val="Tabladeilustraciones"/>
        <w:tabs>
          <w:tab w:val="right" w:leader="dot" w:pos="8488"/>
        </w:tabs>
        <w:rPr>
          <w:rFonts w:asciiTheme="minorHAnsi" w:eastAsiaTheme="minorEastAsia" w:hAnsiTheme="minorHAnsi" w:cstheme="minorBidi"/>
          <w:noProof/>
          <w:lang w:val="es-EC" w:eastAsia="es-EC" w:bidi="ar-SA"/>
        </w:rPr>
      </w:pPr>
      <w:r>
        <w:rPr>
          <w:rFonts w:eastAsiaTheme="majorEastAsia" w:cstheme="majorBidi"/>
          <w:b/>
          <w:bCs/>
          <w:color w:val="2F5496" w:themeColor="accent1" w:themeShade="BF"/>
          <w:sz w:val="28"/>
          <w:szCs w:val="28"/>
        </w:rPr>
        <w:fldChar w:fldCharType="begin"/>
      </w:r>
      <w:r>
        <w:rPr>
          <w:rFonts w:eastAsiaTheme="majorEastAsia" w:cstheme="majorBidi"/>
          <w:b/>
          <w:bCs/>
          <w:color w:val="2F5496" w:themeColor="accent1" w:themeShade="BF"/>
          <w:sz w:val="28"/>
          <w:szCs w:val="28"/>
        </w:rPr>
        <w:instrText xml:space="preserve"> TOC \h \z \c "Tabla" </w:instrText>
      </w:r>
      <w:r>
        <w:rPr>
          <w:rFonts w:eastAsiaTheme="majorEastAsia" w:cstheme="majorBidi"/>
          <w:b/>
          <w:bCs/>
          <w:color w:val="2F5496" w:themeColor="accent1" w:themeShade="BF"/>
          <w:sz w:val="28"/>
          <w:szCs w:val="28"/>
        </w:rPr>
        <w:fldChar w:fldCharType="separate"/>
      </w:r>
      <w:hyperlink w:anchor="_Toc101364155" w:history="1">
        <w:r w:rsidR="00A56265" w:rsidRPr="00190A44">
          <w:rPr>
            <w:rStyle w:val="Hipervnculo"/>
            <w:b/>
            <w:bCs/>
            <w:noProof/>
          </w:rPr>
          <w:t xml:space="preserve">Tabla 1. </w:t>
        </w:r>
        <w:r w:rsidR="00A56265" w:rsidRPr="00190A44">
          <w:rPr>
            <w:rStyle w:val="Hipervnculo"/>
            <w:rFonts w:cstheme="minorHAnsi"/>
            <w:noProof/>
          </w:rPr>
          <w:t>Lista de variables identificadoras de la BDD del MA de la ENESEM 2020.</w:t>
        </w:r>
        <w:r w:rsidR="00A56265">
          <w:rPr>
            <w:noProof/>
            <w:webHidden/>
          </w:rPr>
          <w:tab/>
        </w:r>
        <w:r w:rsidR="00A56265">
          <w:rPr>
            <w:noProof/>
            <w:webHidden/>
          </w:rPr>
          <w:fldChar w:fldCharType="begin"/>
        </w:r>
        <w:r w:rsidR="00A56265">
          <w:rPr>
            <w:noProof/>
            <w:webHidden/>
          </w:rPr>
          <w:instrText xml:space="preserve"> PAGEREF _Toc101364155 \h </w:instrText>
        </w:r>
        <w:r w:rsidR="00A56265">
          <w:rPr>
            <w:noProof/>
            <w:webHidden/>
          </w:rPr>
        </w:r>
        <w:r w:rsidR="00A56265">
          <w:rPr>
            <w:noProof/>
            <w:webHidden/>
          </w:rPr>
          <w:fldChar w:fldCharType="separate"/>
        </w:r>
        <w:r w:rsidR="00A56265">
          <w:rPr>
            <w:noProof/>
            <w:webHidden/>
          </w:rPr>
          <w:t>7</w:t>
        </w:r>
        <w:r w:rsidR="00A56265">
          <w:rPr>
            <w:noProof/>
            <w:webHidden/>
          </w:rPr>
          <w:fldChar w:fldCharType="end"/>
        </w:r>
      </w:hyperlink>
    </w:p>
    <w:p w14:paraId="3FDDED64" w14:textId="40B5E371" w:rsidR="00A56265" w:rsidRDefault="000152AD">
      <w:pPr>
        <w:pStyle w:val="Tabladeilustraciones"/>
        <w:tabs>
          <w:tab w:val="right" w:leader="dot" w:pos="8488"/>
        </w:tabs>
        <w:rPr>
          <w:rFonts w:asciiTheme="minorHAnsi" w:eastAsiaTheme="minorEastAsia" w:hAnsiTheme="minorHAnsi" w:cstheme="minorBidi"/>
          <w:noProof/>
          <w:lang w:val="es-EC" w:eastAsia="es-EC" w:bidi="ar-SA"/>
        </w:rPr>
      </w:pPr>
      <w:hyperlink w:anchor="_Toc101364156" w:history="1">
        <w:r w:rsidR="00A56265" w:rsidRPr="00190A44">
          <w:rPr>
            <w:rStyle w:val="Hipervnculo"/>
            <w:b/>
            <w:bCs/>
            <w:noProof/>
          </w:rPr>
          <w:t>Tabla 2.</w:t>
        </w:r>
        <w:r w:rsidR="00A56265" w:rsidRPr="00190A44">
          <w:rPr>
            <w:rStyle w:val="Hipervnculo"/>
            <w:noProof/>
          </w:rPr>
          <w:t xml:space="preserve"> </w:t>
        </w:r>
        <w:r w:rsidR="00A56265" w:rsidRPr="00190A44">
          <w:rPr>
            <w:rStyle w:val="Hipervnculo"/>
            <w:rFonts w:cstheme="minorHAnsi"/>
            <w:noProof/>
          </w:rPr>
          <w:t>Lista de variables de diseño de la BDD del MA de la ENESEM 2020.</w:t>
        </w:r>
        <w:r w:rsidR="00A56265">
          <w:rPr>
            <w:noProof/>
            <w:webHidden/>
          </w:rPr>
          <w:tab/>
        </w:r>
        <w:r w:rsidR="00A56265">
          <w:rPr>
            <w:noProof/>
            <w:webHidden/>
          </w:rPr>
          <w:fldChar w:fldCharType="begin"/>
        </w:r>
        <w:r w:rsidR="00A56265">
          <w:rPr>
            <w:noProof/>
            <w:webHidden/>
          </w:rPr>
          <w:instrText xml:space="preserve"> PAGEREF _Toc101364156 \h </w:instrText>
        </w:r>
        <w:r w:rsidR="00A56265">
          <w:rPr>
            <w:noProof/>
            <w:webHidden/>
          </w:rPr>
        </w:r>
        <w:r w:rsidR="00A56265">
          <w:rPr>
            <w:noProof/>
            <w:webHidden/>
          </w:rPr>
          <w:fldChar w:fldCharType="separate"/>
        </w:r>
        <w:r w:rsidR="00A56265">
          <w:rPr>
            <w:noProof/>
            <w:webHidden/>
          </w:rPr>
          <w:t>8</w:t>
        </w:r>
        <w:r w:rsidR="00A56265">
          <w:rPr>
            <w:noProof/>
            <w:webHidden/>
          </w:rPr>
          <w:fldChar w:fldCharType="end"/>
        </w:r>
      </w:hyperlink>
    </w:p>
    <w:p w14:paraId="3FE8FC0E" w14:textId="25961F67" w:rsidR="00A56265" w:rsidRDefault="000152AD">
      <w:pPr>
        <w:pStyle w:val="Tabladeilustraciones"/>
        <w:tabs>
          <w:tab w:val="right" w:leader="dot" w:pos="8488"/>
        </w:tabs>
        <w:rPr>
          <w:rFonts w:asciiTheme="minorHAnsi" w:eastAsiaTheme="minorEastAsia" w:hAnsiTheme="minorHAnsi" w:cstheme="minorBidi"/>
          <w:noProof/>
          <w:lang w:val="es-EC" w:eastAsia="es-EC" w:bidi="ar-SA"/>
        </w:rPr>
      </w:pPr>
      <w:hyperlink w:anchor="_Toc101364157" w:history="1">
        <w:r w:rsidR="00A56265" w:rsidRPr="00190A44">
          <w:rPr>
            <w:rStyle w:val="Hipervnculo"/>
            <w:b/>
            <w:bCs/>
            <w:noProof/>
          </w:rPr>
          <w:t xml:space="preserve">Tabla 3. </w:t>
        </w:r>
        <w:r w:rsidR="00A56265" w:rsidRPr="00190A44">
          <w:rPr>
            <w:rStyle w:val="Hipervnculo"/>
            <w:rFonts w:cstheme="minorHAnsi"/>
            <w:noProof/>
          </w:rPr>
          <w:t>Lista parcial de variables temáticas de la BDD del MA de la ENESEM 2020.</w:t>
        </w:r>
        <w:r w:rsidR="00A56265">
          <w:rPr>
            <w:noProof/>
            <w:webHidden/>
          </w:rPr>
          <w:tab/>
        </w:r>
        <w:r w:rsidR="00A56265">
          <w:rPr>
            <w:noProof/>
            <w:webHidden/>
          </w:rPr>
          <w:fldChar w:fldCharType="begin"/>
        </w:r>
        <w:r w:rsidR="00A56265">
          <w:rPr>
            <w:noProof/>
            <w:webHidden/>
          </w:rPr>
          <w:instrText xml:space="preserve"> PAGEREF _Toc101364157 \h </w:instrText>
        </w:r>
        <w:r w:rsidR="00A56265">
          <w:rPr>
            <w:noProof/>
            <w:webHidden/>
          </w:rPr>
        </w:r>
        <w:r w:rsidR="00A56265">
          <w:rPr>
            <w:noProof/>
            <w:webHidden/>
          </w:rPr>
          <w:fldChar w:fldCharType="separate"/>
        </w:r>
        <w:r w:rsidR="00A56265">
          <w:rPr>
            <w:noProof/>
            <w:webHidden/>
          </w:rPr>
          <w:t>8</w:t>
        </w:r>
        <w:r w:rsidR="00A56265">
          <w:rPr>
            <w:noProof/>
            <w:webHidden/>
          </w:rPr>
          <w:fldChar w:fldCharType="end"/>
        </w:r>
      </w:hyperlink>
    </w:p>
    <w:p w14:paraId="681A800C" w14:textId="4D322444" w:rsidR="00A56265" w:rsidRDefault="000152AD">
      <w:pPr>
        <w:pStyle w:val="Tabladeilustraciones"/>
        <w:tabs>
          <w:tab w:val="right" w:leader="dot" w:pos="8488"/>
        </w:tabs>
        <w:rPr>
          <w:rFonts w:asciiTheme="minorHAnsi" w:eastAsiaTheme="minorEastAsia" w:hAnsiTheme="minorHAnsi" w:cstheme="minorBidi"/>
          <w:noProof/>
          <w:lang w:val="es-EC" w:eastAsia="es-EC" w:bidi="ar-SA"/>
        </w:rPr>
      </w:pPr>
      <w:hyperlink w:anchor="_Toc101364158" w:history="1">
        <w:r w:rsidR="00A56265" w:rsidRPr="00190A44">
          <w:rPr>
            <w:rStyle w:val="Hipervnculo"/>
            <w:b/>
            <w:bCs/>
            <w:noProof/>
          </w:rPr>
          <w:t xml:space="preserve">Tabla 4. </w:t>
        </w:r>
        <w:r w:rsidR="00A56265" w:rsidRPr="00190A44">
          <w:rPr>
            <w:rStyle w:val="Hipervnculo"/>
            <w:bCs/>
            <w:noProof/>
          </w:rPr>
          <w:t>Lista</w:t>
        </w:r>
        <w:r w:rsidR="00A56265" w:rsidRPr="00190A44">
          <w:rPr>
            <w:rStyle w:val="Hipervnculo"/>
            <w:rFonts w:cstheme="minorHAnsi"/>
            <w:noProof/>
          </w:rPr>
          <w:t xml:space="preserve"> de variables derivadas de la BDD del MA de la ENESEM 2020.</w:t>
        </w:r>
        <w:r w:rsidR="00A56265">
          <w:rPr>
            <w:noProof/>
            <w:webHidden/>
          </w:rPr>
          <w:tab/>
        </w:r>
        <w:r w:rsidR="00A56265">
          <w:rPr>
            <w:noProof/>
            <w:webHidden/>
          </w:rPr>
          <w:fldChar w:fldCharType="begin"/>
        </w:r>
        <w:r w:rsidR="00A56265">
          <w:rPr>
            <w:noProof/>
            <w:webHidden/>
          </w:rPr>
          <w:instrText xml:space="preserve"> PAGEREF _Toc101364158 \h </w:instrText>
        </w:r>
        <w:r w:rsidR="00A56265">
          <w:rPr>
            <w:noProof/>
            <w:webHidden/>
          </w:rPr>
        </w:r>
        <w:r w:rsidR="00A56265">
          <w:rPr>
            <w:noProof/>
            <w:webHidden/>
          </w:rPr>
          <w:fldChar w:fldCharType="separate"/>
        </w:r>
        <w:r w:rsidR="00A56265">
          <w:rPr>
            <w:noProof/>
            <w:webHidden/>
          </w:rPr>
          <w:t>9</w:t>
        </w:r>
        <w:r w:rsidR="00A56265">
          <w:rPr>
            <w:noProof/>
            <w:webHidden/>
          </w:rPr>
          <w:fldChar w:fldCharType="end"/>
        </w:r>
      </w:hyperlink>
    </w:p>
    <w:p w14:paraId="5747684F" w14:textId="5BAF39D4" w:rsidR="00870600" w:rsidRDefault="00826E44" w:rsidP="00826E44">
      <w:pPr>
        <w:rPr>
          <w:rFonts w:eastAsiaTheme="majorEastAsia" w:cstheme="majorBidi"/>
          <w:b/>
          <w:bCs/>
          <w:color w:val="2F5496" w:themeColor="accent1" w:themeShade="BF"/>
          <w:sz w:val="28"/>
          <w:szCs w:val="28"/>
        </w:rPr>
        <w:sectPr w:rsidR="00870600" w:rsidSect="00870600">
          <w:headerReference w:type="default" r:id="rId9"/>
          <w:footerReference w:type="even" r:id="rId10"/>
          <w:footerReference w:type="default" r:id="rId11"/>
          <w:pgSz w:w="11900" w:h="16840"/>
          <w:pgMar w:top="1417" w:right="1701" w:bottom="1417" w:left="1701" w:header="708" w:footer="708" w:gutter="0"/>
          <w:cols w:space="708"/>
          <w:titlePg/>
          <w:docGrid w:linePitch="360"/>
        </w:sectPr>
      </w:pPr>
      <w:r>
        <w:rPr>
          <w:rFonts w:eastAsiaTheme="majorEastAsia" w:cstheme="majorBidi"/>
          <w:b/>
          <w:bCs/>
          <w:color w:val="2F5496" w:themeColor="accent1" w:themeShade="BF"/>
          <w:sz w:val="28"/>
          <w:szCs w:val="28"/>
        </w:rPr>
        <w:fldChar w:fldCharType="end"/>
      </w:r>
    </w:p>
    <w:p w14:paraId="7C600F38" w14:textId="6845C299" w:rsidR="00826E44" w:rsidRDefault="00826E44" w:rsidP="00826E44">
      <w:pPr>
        <w:rPr>
          <w:rFonts w:ascii="Century Gothic" w:hAnsi="Century Gothic"/>
          <w:color w:val="000000"/>
          <w:sz w:val="20"/>
          <w:szCs w:val="20"/>
          <w:lang w:val="es-PR"/>
        </w:rPr>
      </w:pPr>
      <w:r>
        <w:rPr>
          <w:rFonts w:ascii="Century Gothic" w:hAnsi="Century Gothic"/>
          <w:color w:val="000000"/>
          <w:sz w:val="20"/>
          <w:szCs w:val="20"/>
          <w:lang w:val="es-PR"/>
        </w:rPr>
        <w:lastRenderedPageBreak/>
        <w:br w:type="page"/>
      </w:r>
    </w:p>
    <w:p w14:paraId="55D0E7A0" w14:textId="77777777" w:rsidR="00964965" w:rsidRPr="00F94E0B" w:rsidRDefault="00964965" w:rsidP="00E93839">
      <w:pPr>
        <w:pStyle w:val="Ttulo1"/>
        <w:rPr>
          <w:rFonts w:ascii="Century Gothic" w:eastAsiaTheme="minorHAnsi" w:hAnsi="Century Gothic" w:cstheme="minorBidi"/>
          <w:color w:val="767171" w:themeColor="background2" w:themeShade="80"/>
          <w:sz w:val="36"/>
          <w:szCs w:val="52"/>
          <w:lang w:val="es-EC" w:eastAsia="en-US" w:bidi="ar-SA"/>
        </w:rPr>
      </w:pPr>
      <w:bookmarkStart w:id="1" w:name="_Toc101364187"/>
      <w:r w:rsidRPr="00F94E0B">
        <w:rPr>
          <w:rFonts w:ascii="Century Gothic" w:eastAsiaTheme="minorHAnsi" w:hAnsi="Century Gothic" w:cstheme="minorBidi"/>
          <w:color w:val="767171" w:themeColor="background2" w:themeShade="80"/>
          <w:sz w:val="36"/>
          <w:szCs w:val="52"/>
          <w:lang w:val="es-EC" w:eastAsia="en-US" w:bidi="ar-SA"/>
        </w:rPr>
        <w:lastRenderedPageBreak/>
        <w:t>Introducción</w:t>
      </w:r>
      <w:bookmarkEnd w:id="1"/>
    </w:p>
    <w:p w14:paraId="4A52BC31" w14:textId="77777777" w:rsidR="00964965" w:rsidRPr="00477364" w:rsidRDefault="00964965" w:rsidP="00964965">
      <w:pPr>
        <w:rPr>
          <w:rFonts w:ascii="Century Gothic" w:hAnsi="Century Gothic"/>
          <w:b/>
          <w:bCs/>
          <w:color w:val="2D4037"/>
          <w:sz w:val="21"/>
          <w:szCs w:val="21"/>
        </w:rPr>
      </w:pPr>
    </w:p>
    <w:p w14:paraId="3F1E3C1E" w14:textId="2360ACE7" w:rsidR="007D3081" w:rsidRPr="00B97999" w:rsidRDefault="00964965" w:rsidP="00964965">
      <w:pPr>
        <w:jc w:val="both"/>
        <w:rPr>
          <w:rFonts w:ascii="Century Gothic" w:eastAsia="Times New Roman" w:hAnsi="Century Gothic" w:cs="Open Sans"/>
          <w:sz w:val="21"/>
          <w:szCs w:val="21"/>
          <w:lang w:eastAsia="es-ES_tradnl"/>
        </w:rPr>
      </w:pPr>
      <w:r w:rsidRPr="00B97999">
        <w:rPr>
          <w:rFonts w:ascii="Century Gothic" w:eastAsia="Times New Roman" w:hAnsi="Century Gothic" w:cs="Open Sans"/>
          <w:sz w:val="21"/>
          <w:szCs w:val="21"/>
          <w:lang w:eastAsia="es-ES_tradnl"/>
        </w:rPr>
        <w:t xml:space="preserve">El Módulo Ambiental (MA) de la ENcuesta EStructural EMpresarial (ENESEM), edición </w:t>
      </w:r>
      <w:r w:rsidR="00D330B6">
        <w:rPr>
          <w:rFonts w:ascii="Century Gothic" w:eastAsia="Times New Roman" w:hAnsi="Century Gothic" w:cs="Open Sans"/>
          <w:sz w:val="21"/>
          <w:szCs w:val="21"/>
          <w:lang w:eastAsia="es-ES_tradnl"/>
        </w:rPr>
        <w:t>2020</w:t>
      </w:r>
      <w:r w:rsidRPr="00B97999">
        <w:rPr>
          <w:rFonts w:ascii="Century Gothic" w:eastAsia="Times New Roman" w:hAnsi="Century Gothic" w:cs="Open Sans"/>
          <w:sz w:val="21"/>
          <w:szCs w:val="21"/>
          <w:lang w:eastAsia="es-ES_tradnl"/>
        </w:rPr>
        <w:t>, es una parte especializada de la mencionada encuesta en temas empresariales relacionados con el ambiente, como son: (a) gestión ambiental, (b) oferta y utilización de bienes y servicios ambientale</w:t>
      </w:r>
      <w:r>
        <w:rPr>
          <w:rFonts w:ascii="Century Gothic" w:eastAsia="Times New Roman" w:hAnsi="Century Gothic" w:cs="Open Sans"/>
          <w:sz w:val="21"/>
          <w:szCs w:val="21"/>
          <w:lang w:eastAsia="es-ES_tradnl"/>
        </w:rPr>
        <w:t xml:space="preserve">s, (c) </w:t>
      </w:r>
      <w:r>
        <w:rPr>
          <w:rFonts w:ascii="Century Gothic" w:eastAsia="Times New Roman" w:hAnsi="Century Gothic" w:cs="Open Sans"/>
          <w:sz w:val="20"/>
          <w:szCs w:val="21"/>
          <w:lang w:eastAsia="es-ES_tradnl"/>
        </w:rPr>
        <w:t>en</w:t>
      </w:r>
      <w:r w:rsidRPr="00E107C8">
        <w:rPr>
          <w:rFonts w:ascii="Century Gothic" w:eastAsia="Times New Roman" w:hAnsi="Century Gothic" w:cs="Open Sans"/>
          <w:sz w:val="20"/>
          <w:szCs w:val="21"/>
          <w:lang w:eastAsia="es-ES_tradnl"/>
        </w:rPr>
        <w:t>ergía, combustibles</w:t>
      </w:r>
      <w:r w:rsidRPr="00B97999">
        <w:rPr>
          <w:rFonts w:ascii="Century Gothic" w:eastAsia="Times New Roman" w:hAnsi="Century Gothic" w:cs="Open Sans"/>
          <w:sz w:val="21"/>
          <w:szCs w:val="21"/>
          <w:lang w:eastAsia="es-ES_tradnl"/>
        </w:rPr>
        <w:t xml:space="preserve"> y lubricantes, (d) agua, manejo de aguas residuales y de otros residuos.</w:t>
      </w:r>
    </w:p>
    <w:p w14:paraId="24E489DB" w14:textId="77777777" w:rsidR="00964965" w:rsidRPr="00B97999" w:rsidRDefault="00964965" w:rsidP="00964965">
      <w:pPr>
        <w:jc w:val="both"/>
        <w:rPr>
          <w:rFonts w:ascii="Century Gothic" w:eastAsia="Times New Roman" w:hAnsi="Century Gothic" w:cs="Open Sans"/>
          <w:sz w:val="21"/>
          <w:szCs w:val="21"/>
          <w:lang w:eastAsia="es-ES_tradnl"/>
        </w:rPr>
      </w:pPr>
    </w:p>
    <w:p w14:paraId="6E8956EB" w14:textId="7D93F212" w:rsidR="00964965" w:rsidRPr="00B97999" w:rsidRDefault="00964965" w:rsidP="00964965">
      <w:pPr>
        <w:jc w:val="both"/>
        <w:rPr>
          <w:rFonts w:ascii="Century Gothic" w:eastAsia="Times New Roman" w:hAnsi="Century Gothic" w:cs="Open Sans"/>
          <w:sz w:val="21"/>
          <w:szCs w:val="21"/>
          <w:lang w:eastAsia="es-ES_tradnl"/>
        </w:rPr>
      </w:pPr>
      <w:r w:rsidRPr="00B97999">
        <w:rPr>
          <w:rFonts w:ascii="Century Gothic" w:eastAsia="Times New Roman" w:hAnsi="Century Gothic" w:cs="Open Sans"/>
          <w:sz w:val="21"/>
          <w:szCs w:val="21"/>
          <w:lang w:eastAsia="es-ES_tradnl"/>
        </w:rPr>
        <w:t xml:space="preserve">El procesamiento de los tabulados e indicadores de resultados del MA de la ENESEM </w:t>
      </w:r>
      <w:r w:rsidR="00D330B6">
        <w:rPr>
          <w:rFonts w:ascii="Century Gothic" w:eastAsia="Times New Roman" w:hAnsi="Century Gothic" w:cs="Open Sans"/>
          <w:sz w:val="21"/>
          <w:szCs w:val="21"/>
          <w:lang w:eastAsia="es-ES_tradnl"/>
        </w:rPr>
        <w:t>2020</w:t>
      </w:r>
      <w:r w:rsidRPr="00B97999">
        <w:rPr>
          <w:rFonts w:ascii="Century Gothic" w:eastAsia="Times New Roman" w:hAnsi="Century Gothic" w:cs="Open Sans"/>
          <w:sz w:val="21"/>
          <w:szCs w:val="21"/>
          <w:lang w:eastAsia="es-ES_tradnl"/>
        </w:rPr>
        <w:t xml:space="preserve"> se lo realizó a partir de la base de datos </w:t>
      </w:r>
      <w:r>
        <w:rPr>
          <w:rFonts w:ascii="Century Gothic" w:eastAsia="Times New Roman" w:hAnsi="Century Gothic" w:cs="Open Sans"/>
          <w:sz w:val="21"/>
          <w:szCs w:val="21"/>
          <w:lang w:eastAsia="es-ES_tradnl"/>
        </w:rPr>
        <w:t xml:space="preserve">(BDD) </w:t>
      </w:r>
      <w:r w:rsidRPr="00B97999">
        <w:rPr>
          <w:rFonts w:ascii="Century Gothic" w:eastAsia="Times New Roman" w:hAnsi="Century Gothic" w:cs="Open Sans"/>
          <w:sz w:val="21"/>
          <w:szCs w:val="21"/>
          <w:lang w:eastAsia="es-ES_tradnl"/>
        </w:rPr>
        <w:t>generada a partir del aplicativo institucional de carga de datos para encuestas y censos (INFOCAPT) con las empresas que respondieron, generalmente, a todos los capítulos y preguntas del formulario de captura de información correspondiente.</w:t>
      </w:r>
    </w:p>
    <w:p w14:paraId="25D876B3" w14:textId="77777777" w:rsidR="00964965" w:rsidRPr="00B97999" w:rsidRDefault="00964965" w:rsidP="00964965">
      <w:pPr>
        <w:jc w:val="both"/>
        <w:rPr>
          <w:rFonts w:ascii="Century Gothic" w:eastAsia="Times New Roman" w:hAnsi="Century Gothic" w:cs="Open Sans"/>
          <w:sz w:val="21"/>
          <w:szCs w:val="21"/>
          <w:lang w:eastAsia="es-ES_tradnl"/>
        </w:rPr>
      </w:pPr>
    </w:p>
    <w:p w14:paraId="0970E673" w14:textId="0947B878" w:rsidR="00964965" w:rsidRPr="00E93839" w:rsidRDefault="00964965" w:rsidP="00964965">
      <w:pPr>
        <w:jc w:val="both"/>
        <w:rPr>
          <w:rFonts w:ascii="Century Gothic" w:eastAsia="Times New Roman" w:hAnsi="Century Gothic" w:cs="Open Sans"/>
          <w:sz w:val="21"/>
          <w:szCs w:val="21"/>
          <w:lang w:eastAsia="es-ES_tradnl"/>
        </w:rPr>
      </w:pPr>
      <w:r w:rsidRPr="00B97999">
        <w:rPr>
          <w:rFonts w:ascii="Century Gothic" w:eastAsia="Times New Roman" w:hAnsi="Century Gothic" w:cs="Open Sans"/>
          <w:sz w:val="21"/>
          <w:szCs w:val="21"/>
          <w:lang w:eastAsia="es-ES_tradnl"/>
        </w:rPr>
        <w:t xml:space="preserve">En lo sucesivo, </w:t>
      </w:r>
      <w:r>
        <w:rPr>
          <w:rFonts w:ascii="Century Gothic" w:eastAsia="Times New Roman" w:hAnsi="Century Gothic" w:cs="Open Sans"/>
          <w:sz w:val="21"/>
          <w:szCs w:val="21"/>
          <w:lang w:eastAsia="es-ES_tradnl"/>
        </w:rPr>
        <w:t xml:space="preserve">indicaremos los requisitos técnicos para procesar la BDD del MA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También </w:t>
      </w:r>
      <w:r w:rsidRPr="00B97999">
        <w:rPr>
          <w:rFonts w:ascii="Century Gothic" w:eastAsia="Times New Roman" w:hAnsi="Century Gothic" w:cs="Open Sans"/>
          <w:sz w:val="21"/>
          <w:szCs w:val="21"/>
          <w:lang w:eastAsia="es-ES_tradnl"/>
        </w:rPr>
        <w:t xml:space="preserve">haremos un resumen metodológico del MA de la ENESEM </w:t>
      </w:r>
      <w:r w:rsidR="00D330B6">
        <w:rPr>
          <w:rFonts w:ascii="Century Gothic" w:eastAsia="Times New Roman" w:hAnsi="Century Gothic" w:cs="Open Sans"/>
          <w:sz w:val="21"/>
          <w:szCs w:val="21"/>
          <w:lang w:eastAsia="es-ES_tradnl"/>
        </w:rPr>
        <w:t>2020</w:t>
      </w:r>
      <w:r w:rsidRPr="00B97999">
        <w:rPr>
          <w:rFonts w:ascii="Century Gothic" w:eastAsia="Times New Roman" w:hAnsi="Century Gothic" w:cs="Open Sans"/>
          <w:sz w:val="21"/>
          <w:szCs w:val="21"/>
          <w:lang w:eastAsia="es-ES_tradnl"/>
        </w:rPr>
        <w:t>, así como</w:t>
      </w:r>
      <w:r>
        <w:rPr>
          <w:rFonts w:ascii="Century Gothic" w:eastAsia="Times New Roman" w:hAnsi="Century Gothic" w:cs="Open Sans"/>
          <w:sz w:val="21"/>
          <w:szCs w:val="21"/>
          <w:lang w:eastAsia="es-ES_tradnl"/>
        </w:rPr>
        <w:t xml:space="preserve"> se indicará</w:t>
      </w:r>
      <w:r w:rsidRPr="00B97999">
        <w:rPr>
          <w:rFonts w:ascii="Century Gothic" w:eastAsia="Times New Roman" w:hAnsi="Century Gothic" w:cs="Open Sans"/>
          <w:sz w:val="21"/>
          <w:szCs w:val="21"/>
          <w:lang w:eastAsia="es-ES_tradnl"/>
        </w:rPr>
        <w:t xml:space="preserve"> l</w:t>
      </w:r>
      <w:r>
        <w:rPr>
          <w:rFonts w:ascii="Century Gothic" w:eastAsia="Times New Roman" w:hAnsi="Century Gothic" w:cs="Open Sans"/>
          <w:sz w:val="21"/>
          <w:szCs w:val="21"/>
          <w:lang w:eastAsia="es-ES_tradnl"/>
        </w:rPr>
        <w:t>os</w:t>
      </w:r>
      <w:r w:rsidRPr="00B97999">
        <w:rPr>
          <w:rFonts w:ascii="Century Gothic" w:eastAsia="Times New Roman" w:hAnsi="Century Gothic" w:cs="Open Sans"/>
          <w:sz w:val="21"/>
          <w:szCs w:val="21"/>
          <w:lang w:eastAsia="es-ES_tradnl"/>
        </w:rPr>
        <w:t xml:space="preserve"> formato</w:t>
      </w:r>
      <w:r>
        <w:rPr>
          <w:rFonts w:ascii="Century Gothic" w:eastAsia="Times New Roman" w:hAnsi="Century Gothic" w:cs="Open Sans"/>
          <w:sz w:val="21"/>
          <w:szCs w:val="21"/>
          <w:lang w:eastAsia="es-ES_tradnl"/>
        </w:rPr>
        <w:t>s</w:t>
      </w:r>
      <w:r w:rsidRPr="00B97999">
        <w:rPr>
          <w:rFonts w:ascii="Century Gothic" w:eastAsia="Times New Roman" w:hAnsi="Century Gothic" w:cs="Open Sans"/>
          <w:sz w:val="21"/>
          <w:szCs w:val="21"/>
          <w:lang w:eastAsia="es-ES_tradnl"/>
        </w:rPr>
        <w:t xml:space="preserve"> de</w:t>
      </w:r>
      <w:r>
        <w:rPr>
          <w:rFonts w:ascii="Century Gothic" w:eastAsia="Times New Roman" w:hAnsi="Century Gothic" w:cs="Open Sans"/>
          <w:sz w:val="21"/>
          <w:szCs w:val="21"/>
          <w:lang w:eastAsia="es-ES_tradnl"/>
        </w:rPr>
        <w:t xml:space="preserve"> entrega de la BDD, </w:t>
      </w:r>
      <w:r w:rsidRPr="00B97999">
        <w:rPr>
          <w:rFonts w:ascii="Century Gothic" w:eastAsia="Times New Roman" w:hAnsi="Century Gothic" w:cs="Open Sans"/>
          <w:sz w:val="21"/>
          <w:szCs w:val="21"/>
          <w:lang w:eastAsia="es-ES_tradnl"/>
        </w:rPr>
        <w:t>su sintaxis de procesamiento de los tabulados e indicadores publicados, el nombre y formato de sus variables, los tipos de variables y se co</w:t>
      </w:r>
      <w:r>
        <w:rPr>
          <w:rFonts w:ascii="Century Gothic" w:eastAsia="Times New Roman" w:hAnsi="Century Gothic" w:cs="Open Sans"/>
          <w:sz w:val="21"/>
          <w:szCs w:val="21"/>
          <w:lang w:eastAsia="es-ES_tradnl"/>
        </w:rPr>
        <w:t>ncluirá con un acápite sobre</w:t>
      </w:r>
      <w:r w:rsidRPr="00B97999">
        <w:rPr>
          <w:rFonts w:ascii="Century Gothic" w:eastAsia="Times New Roman" w:hAnsi="Century Gothic" w:cs="Open Sans"/>
          <w:sz w:val="21"/>
          <w:szCs w:val="21"/>
          <w:lang w:eastAsia="es-ES_tradnl"/>
        </w:rPr>
        <w:t xml:space="preserve"> recomendaciones generales previas a la realización de procesamiento de usuario del MA de la ENESEM </w:t>
      </w:r>
      <w:r w:rsidR="00D330B6">
        <w:rPr>
          <w:rFonts w:ascii="Century Gothic" w:eastAsia="Times New Roman" w:hAnsi="Century Gothic" w:cs="Open Sans"/>
          <w:sz w:val="21"/>
          <w:szCs w:val="21"/>
          <w:lang w:eastAsia="es-ES_tradnl"/>
        </w:rPr>
        <w:t>2020</w:t>
      </w:r>
      <w:r w:rsidRPr="00B97999">
        <w:rPr>
          <w:rFonts w:ascii="Century Gothic" w:eastAsia="Times New Roman" w:hAnsi="Century Gothic" w:cs="Open Sans"/>
          <w:sz w:val="21"/>
          <w:szCs w:val="21"/>
          <w:lang w:eastAsia="es-ES_tradnl"/>
        </w:rPr>
        <w:t>.</w:t>
      </w:r>
    </w:p>
    <w:p w14:paraId="4B456F64" w14:textId="77777777" w:rsidR="00964965" w:rsidRPr="001F3C8A" w:rsidRDefault="00964965" w:rsidP="00E93839">
      <w:pPr>
        <w:pStyle w:val="Ttulo1"/>
        <w:rPr>
          <w:rFonts w:ascii="Century Gothic" w:eastAsiaTheme="minorHAnsi" w:hAnsi="Century Gothic" w:cstheme="minorBidi"/>
          <w:color w:val="538135" w:themeColor="accent6" w:themeShade="BF"/>
          <w:sz w:val="36"/>
          <w:szCs w:val="52"/>
          <w:lang w:val="es-EC" w:eastAsia="en-US" w:bidi="ar-SA"/>
        </w:rPr>
      </w:pPr>
      <w:bookmarkStart w:id="2" w:name="_Toc101364188"/>
      <w:r w:rsidRPr="00F94E0B">
        <w:rPr>
          <w:rFonts w:ascii="Century Gothic" w:eastAsiaTheme="minorHAnsi" w:hAnsi="Century Gothic" w:cstheme="minorBidi"/>
          <w:color w:val="767171" w:themeColor="background2" w:themeShade="80"/>
          <w:sz w:val="36"/>
          <w:szCs w:val="52"/>
          <w:lang w:val="es-EC" w:eastAsia="en-US" w:bidi="ar-SA"/>
        </w:rPr>
        <w:t>Requisitos técnicos</w:t>
      </w:r>
      <w:bookmarkEnd w:id="2"/>
    </w:p>
    <w:p w14:paraId="41CF3036" w14:textId="77777777" w:rsidR="00964965" w:rsidRDefault="00964965" w:rsidP="00964965">
      <w:pPr>
        <w:jc w:val="both"/>
        <w:rPr>
          <w:rFonts w:ascii="Century Gothic" w:eastAsia="Times New Roman" w:hAnsi="Century Gothic" w:cs="Open Sans"/>
          <w:sz w:val="21"/>
          <w:szCs w:val="21"/>
          <w:lang w:eastAsia="es-ES_tradnl"/>
        </w:rPr>
      </w:pPr>
    </w:p>
    <w:p w14:paraId="44795C23" w14:textId="08B81F4F"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Para poder procesar la BDD del Módulo Ambiental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el usuario debe satisfacer los siguientes requisitos, tanto de conocimiento como de infraestructura, los cuales se asumirá, en lo que sigue de este documento, que se han satisfecho, al </w:t>
      </w:r>
      <w:r>
        <w:rPr>
          <w:rFonts w:ascii="Century Gothic" w:eastAsia="Times New Roman" w:hAnsi="Century Gothic" w:cs="Open Sans"/>
          <w:sz w:val="21"/>
          <w:szCs w:val="21"/>
          <w:lang w:eastAsia="es-ES_tradnl"/>
        </w:rPr>
        <w:lastRenderedPageBreak/>
        <w:t>menos en un grado aceptable o mejor. Estos requisitos son:</w:t>
      </w:r>
    </w:p>
    <w:p w14:paraId="7ED0805B" w14:textId="77777777" w:rsidR="00964965" w:rsidRDefault="00964965" w:rsidP="00964965">
      <w:pPr>
        <w:jc w:val="both"/>
        <w:rPr>
          <w:rFonts w:ascii="Century Gothic" w:eastAsia="Times New Roman" w:hAnsi="Century Gothic" w:cs="Open Sans"/>
          <w:sz w:val="21"/>
          <w:szCs w:val="21"/>
          <w:lang w:eastAsia="es-ES_tradnl"/>
        </w:rPr>
      </w:pPr>
    </w:p>
    <w:p w14:paraId="1FD91481" w14:textId="77777777" w:rsidR="00964965" w:rsidRPr="00390165" w:rsidRDefault="00964965" w:rsidP="00964965">
      <w:pPr>
        <w:pStyle w:val="Prrafodelista"/>
        <w:numPr>
          <w:ilvl w:val="0"/>
          <w:numId w:val="13"/>
        </w:numPr>
        <w:jc w:val="both"/>
        <w:rPr>
          <w:rFonts w:ascii="Century Gothic" w:eastAsia="Times New Roman" w:hAnsi="Century Gothic" w:cs="Open Sans"/>
          <w:sz w:val="21"/>
          <w:szCs w:val="21"/>
          <w:lang w:eastAsia="es-ES_tradnl"/>
        </w:rPr>
      </w:pPr>
      <w:r w:rsidRPr="00BF2F5F">
        <w:rPr>
          <w:rFonts w:ascii="Century Gothic" w:eastAsia="Times New Roman" w:hAnsi="Century Gothic" w:cs="Open Sans"/>
          <w:i/>
          <w:sz w:val="21"/>
          <w:szCs w:val="21"/>
          <w:lang w:eastAsia="es-ES_tradnl"/>
        </w:rPr>
        <w:t>Requisitos de conocimiento</w:t>
      </w:r>
      <w:r>
        <w:rPr>
          <w:rFonts w:ascii="Century Gothic" w:eastAsia="Times New Roman" w:hAnsi="Century Gothic" w:cs="Open Sans"/>
          <w:sz w:val="21"/>
          <w:szCs w:val="21"/>
          <w:lang w:eastAsia="es-ES_tradnl"/>
        </w:rPr>
        <w:t xml:space="preserve">: El usuario requiere tener una formación, académica y/o práctica, en Estadística Descriptiva e Inferencial. También se requiere del dominio de Microsoft Excel® 2013 o posterior, sobretodo en manejo de fórmulas aritméticas básicas, filtros, ordenamientos y gráficos. Además, es altamente deseable el conocimiento de plataformas o entornos de procesamiento estadístico, como SPSS v17 o posterior, R v4.0.3 o posterior, y Python 3.7 o posterior.  </w:t>
      </w:r>
    </w:p>
    <w:p w14:paraId="65F44CA3" w14:textId="7EA277E3" w:rsidR="00964965" w:rsidRPr="00390165" w:rsidRDefault="00964965" w:rsidP="00964965">
      <w:pPr>
        <w:pStyle w:val="Prrafodelista"/>
        <w:numPr>
          <w:ilvl w:val="0"/>
          <w:numId w:val="13"/>
        </w:numPr>
        <w:jc w:val="both"/>
        <w:rPr>
          <w:rFonts w:ascii="Century Gothic" w:eastAsia="Times New Roman" w:hAnsi="Century Gothic" w:cs="Open Sans"/>
          <w:sz w:val="21"/>
          <w:szCs w:val="21"/>
          <w:lang w:eastAsia="es-ES_tradnl"/>
        </w:rPr>
      </w:pPr>
      <w:r w:rsidRPr="00390165">
        <w:rPr>
          <w:rFonts w:ascii="Century Gothic" w:eastAsia="Times New Roman" w:hAnsi="Century Gothic" w:cs="Open Sans"/>
          <w:i/>
          <w:sz w:val="21"/>
          <w:szCs w:val="21"/>
          <w:lang w:eastAsia="es-ES_tradnl"/>
        </w:rPr>
        <w:t xml:space="preserve">Requisitos de </w:t>
      </w:r>
      <w:r>
        <w:rPr>
          <w:rFonts w:ascii="Century Gothic" w:eastAsia="Times New Roman" w:hAnsi="Century Gothic" w:cs="Open Sans"/>
          <w:i/>
          <w:sz w:val="21"/>
          <w:szCs w:val="21"/>
          <w:lang w:eastAsia="es-ES_tradnl"/>
        </w:rPr>
        <w:t>infraestructura</w:t>
      </w:r>
      <w:r>
        <w:rPr>
          <w:rFonts w:ascii="Century Gothic" w:eastAsia="Times New Roman" w:hAnsi="Century Gothic" w:cs="Open Sans"/>
          <w:sz w:val="21"/>
          <w:szCs w:val="21"/>
          <w:lang w:eastAsia="es-ES_tradnl"/>
        </w:rPr>
        <w:t xml:space="preserve">: El usuario requiere tener instalados, al menos, Microsoft Excel® 2013 o posterior, así como R v4.0.3 o posterior, de preferencia junto al entorno gráfico auxiliar para R denominado RStudio v1.3 o posterior, en el cual se desarrolló parte de la sintaxis de tabulados e indicadores de publicación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w:t>
      </w:r>
    </w:p>
    <w:p w14:paraId="3C7CF21C" w14:textId="77777777" w:rsidR="00964965" w:rsidRPr="00F94E0B" w:rsidRDefault="00964965" w:rsidP="00E93839">
      <w:pPr>
        <w:pStyle w:val="Ttulo1"/>
        <w:rPr>
          <w:rFonts w:ascii="Century Gothic" w:eastAsiaTheme="minorHAnsi" w:hAnsi="Century Gothic" w:cstheme="minorBidi"/>
          <w:color w:val="767171" w:themeColor="background2" w:themeShade="80"/>
          <w:sz w:val="36"/>
          <w:szCs w:val="52"/>
          <w:lang w:val="es-EC" w:eastAsia="en-US" w:bidi="ar-SA"/>
        </w:rPr>
      </w:pPr>
      <w:bookmarkStart w:id="3" w:name="_Toc101364189"/>
      <w:r w:rsidRPr="00F94E0B">
        <w:rPr>
          <w:rFonts w:ascii="Century Gothic" w:eastAsiaTheme="minorHAnsi" w:hAnsi="Century Gothic" w:cstheme="minorBidi"/>
          <w:color w:val="767171" w:themeColor="background2" w:themeShade="80"/>
          <w:sz w:val="36"/>
          <w:szCs w:val="52"/>
          <w:lang w:val="es-EC" w:eastAsia="en-US" w:bidi="ar-SA"/>
        </w:rPr>
        <w:t>Resumen metodológico y alcance de los datos</w:t>
      </w:r>
      <w:bookmarkEnd w:id="3"/>
    </w:p>
    <w:p w14:paraId="20610034" w14:textId="77777777" w:rsidR="00964965" w:rsidRDefault="00964965" w:rsidP="00964965">
      <w:pPr>
        <w:jc w:val="both"/>
        <w:rPr>
          <w:rFonts w:ascii="Century Gothic" w:eastAsia="Times New Roman" w:hAnsi="Century Gothic" w:cs="Open Sans"/>
          <w:color w:val="6E6E7C"/>
          <w:sz w:val="21"/>
          <w:szCs w:val="21"/>
          <w:lang w:eastAsia="es-ES_tradnl"/>
        </w:rPr>
      </w:pPr>
    </w:p>
    <w:p w14:paraId="4451912C" w14:textId="20345E50" w:rsidR="00964965" w:rsidRPr="00646F55" w:rsidRDefault="00964965" w:rsidP="00964965">
      <w:pPr>
        <w:pStyle w:val="Descripcin"/>
        <w:jc w:val="center"/>
        <w:rPr>
          <w:rFonts w:cs="Calibri"/>
          <w:color w:val="595959" w:themeColor="text1" w:themeTint="A6"/>
        </w:rPr>
      </w:pPr>
      <w:bookmarkStart w:id="4" w:name="_Toc101364163"/>
      <w:r w:rsidRPr="00646F55">
        <w:rPr>
          <w:b/>
          <w:bCs/>
          <w:i w:val="0"/>
          <w:iCs w:val="0"/>
          <w:color w:val="auto"/>
          <w:sz w:val="16"/>
        </w:rPr>
        <w:t xml:space="preserve">Figura </w:t>
      </w:r>
      <w:r w:rsidRPr="00646F55">
        <w:rPr>
          <w:b/>
          <w:bCs/>
          <w:i w:val="0"/>
          <w:iCs w:val="0"/>
          <w:color w:val="auto"/>
          <w:sz w:val="16"/>
        </w:rPr>
        <w:fldChar w:fldCharType="begin"/>
      </w:r>
      <w:r w:rsidRPr="00646F55">
        <w:rPr>
          <w:b/>
          <w:bCs/>
          <w:i w:val="0"/>
          <w:iCs w:val="0"/>
          <w:color w:val="auto"/>
          <w:sz w:val="16"/>
        </w:rPr>
        <w:instrText xml:space="preserve"> SEQ Figura \* ARABIC </w:instrText>
      </w:r>
      <w:r w:rsidRPr="00646F55">
        <w:rPr>
          <w:b/>
          <w:bCs/>
          <w:i w:val="0"/>
          <w:iCs w:val="0"/>
          <w:color w:val="auto"/>
          <w:sz w:val="16"/>
        </w:rPr>
        <w:fldChar w:fldCharType="separate"/>
      </w:r>
      <w:r w:rsidRPr="00646F55">
        <w:rPr>
          <w:b/>
          <w:bCs/>
          <w:i w:val="0"/>
          <w:iCs w:val="0"/>
          <w:noProof/>
          <w:color w:val="auto"/>
          <w:sz w:val="16"/>
        </w:rPr>
        <w:t>1</w:t>
      </w:r>
      <w:r w:rsidRPr="00646F55">
        <w:rPr>
          <w:b/>
          <w:bCs/>
          <w:i w:val="0"/>
          <w:iCs w:val="0"/>
          <w:color w:val="auto"/>
          <w:sz w:val="16"/>
        </w:rPr>
        <w:fldChar w:fldCharType="end"/>
      </w:r>
      <w:r w:rsidRPr="00646F55">
        <w:rPr>
          <w:b/>
          <w:bCs/>
          <w:i w:val="0"/>
          <w:iCs w:val="0"/>
          <w:color w:val="auto"/>
          <w:sz w:val="16"/>
        </w:rPr>
        <w:t>.</w:t>
      </w:r>
      <w:r w:rsidRPr="00646F55">
        <w:rPr>
          <w:rFonts w:cs="Calibri"/>
          <w:color w:val="595959" w:themeColor="text1" w:themeTint="A6"/>
          <w:sz w:val="16"/>
        </w:rPr>
        <w:t xml:space="preserve"> </w:t>
      </w:r>
      <w:r>
        <w:rPr>
          <w:rFonts w:cs="Calibri"/>
          <w:i w:val="0"/>
          <w:color w:val="auto"/>
          <w:sz w:val="16"/>
        </w:rPr>
        <w:t xml:space="preserve">Ficha técnica del MA de la ENESEM </w:t>
      </w:r>
      <w:r w:rsidR="00D330B6">
        <w:rPr>
          <w:rFonts w:cs="Calibri"/>
          <w:i w:val="0"/>
          <w:color w:val="auto"/>
          <w:sz w:val="16"/>
        </w:rPr>
        <w:t>2020</w:t>
      </w:r>
      <w:bookmarkEnd w:id="4"/>
    </w:p>
    <w:p w14:paraId="083B2D5D" w14:textId="31D7F17E" w:rsidR="00964965" w:rsidRDefault="00D330B6" w:rsidP="00964965">
      <w:pPr>
        <w:jc w:val="center"/>
        <w:rPr>
          <w:rFonts w:ascii="Century Gothic" w:eastAsia="Times New Roman" w:hAnsi="Century Gothic" w:cs="Open Sans"/>
          <w:color w:val="6E6E7C"/>
          <w:sz w:val="21"/>
          <w:szCs w:val="21"/>
          <w:lang w:eastAsia="es-ES_tradnl"/>
        </w:rPr>
      </w:pPr>
      <w:r>
        <w:rPr>
          <w:rFonts w:ascii="Century Gothic" w:eastAsia="Times New Roman" w:hAnsi="Century Gothic" w:cs="Open Sans"/>
          <w:noProof/>
          <w:color w:val="6E6E7C"/>
          <w:sz w:val="21"/>
          <w:szCs w:val="21"/>
          <w:lang w:eastAsia="es-EC"/>
        </w:rPr>
        <w:drawing>
          <wp:inline distT="0" distB="0" distL="0" distR="0" wp14:anchorId="4458411F" wp14:editId="74EAA0F9">
            <wp:extent cx="2473325" cy="2291080"/>
            <wp:effectExtent l="0" t="0" r="317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73325" cy="2291080"/>
                    </a:xfrm>
                    <a:prstGeom prst="rect">
                      <a:avLst/>
                    </a:prstGeom>
                  </pic:spPr>
                </pic:pic>
              </a:graphicData>
            </a:graphic>
          </wp:inline>
        </w:drawing>
      </w:r>
    </w:p>
    <w:p w14:paraId="6147FD3C" w14:textId="77777777" w:rsidR="00964965" w:rsidRPr="00B97999" w:rsidRDefault="00964965" w:rsidP="00964965">
      <w:pPr>
        <w:jc w:val="center"/>
        <w:rPr>
          <w:rFonts w:ascii="Century Gothic" w:hAnsi="Century Gothic" w:cs="Calibri"/>
          <w:b/>
          <w:sz w:val="14"/>
          <w:szCs w:val="14"/>
        </w:rPr>
      </w:pPr>
    </w:p>
    <w:p w14:paraId="21CAC655" w14:textId="6D9C8782" w:rsidR="00964965" w:rsidRDefault="00964965" w:rsidP="00964965">
      <w:pPr>
        <w:jc w:val="center"/>
        <w:rPr>
          <w:rFonts w:ascii="Century Gothic" w:hAnsi="Century Gothic" w:cs="Calibri"/>
          <w:sz w:val="14"/>
          <w:szCs w:val="14"/>
        </w:rPr>
      </w:pPr>
      <w:r w:rsidRPr="00646F55">
        <w:rPr>
          <w:rFonts w:ascii="Century Gothic" w:hAnsi="Century Gothic" w:cs="Calibri"/>
          <w:b/>
          <w:sz w:val="14"/>
          <w:szCs w:val="14"/>
        </w:rPr>
        <w:t>Fuente:</w:t>
      </w:r>
      <w:r w:rsidRPr="00646F55">
        <w:rPr>
          <w:rFonts w:ascii="Century Gothic" w:hAnsi="Century Gothic" w:cs="Calibri"/>
          <w:sz w:val="14"/>
          <w:szCs w:val="14"/>
        </w:rPr>
        <w:t xml:space="preserve"> Módulo Ambiental ENESEM </w:t>
      </w:r>
      <w:r w:rsidR="00D330B6">
        <w:rPr>
          <w:rFonts w:ascii="Century Gothic" w:hAnsi="Century Gothic" w:cs="Calibri"/>
          <w:sz w:val="14"/>
          <w:szCs w:val="14"/>
        </w:rPr>
        <w:t>2020</w:t>
      </w:r>
      <w:r w:rsidRPr="00646F55">
        <w:rPr>
          <w:rFonts w:ascii="Century Gothic" w:hAnsi="Century Gothic" w:cs="Calibri"/>
          <w:sz w:val="14"/>
          <w:szCs w:val="14"/>
        </w:rPr>
        <w:t>.</w:t>
      </w:r>
    </w:p>
    <w:p w14:paraId="7B27750E" w14:textId="332AD885"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lastRenderedPageBreak/>
        <w:t xml:space="preserve">La operación estadística denominada </w:t>
      </w:r>
      <w:r w:rsidRPr="00E107C8">
        <w:rPr>
          <w:rFonts w:ascii="Century Gothic" w:eastAsia="Times New Roman" w:hAnsi="Century Gothic" w:cs="Open Sans"/>
          <w:b/>
          <w:sz w:val="21"/>
          <w:szCs w:val="21"/>
          <w:lang w:eastAsia="es-ES_tradnl"/>
        </w:rPr>
        <w:t>Encuesta Estructural Empresarial (ENESEM)</w:t>
      </w:r>
      <w:r>
        <w:rPr>
          <w:rFonts w:ascii="Century Gothic" w:eastAsia="Times New Roman" w:hAnsi="Century Gothic" w:cs="Open Sans"/>
          <w:b/>
          <w:sz w:val="21"/>
          <w:szCs w:val="21"/>
          <w:lang w:eastAsia="es-ES_tradnl"/>
        </w:rPr>
        <w:t xml:space="preserve"> </w:t>
      </w:r>
      <w:r>
        <w:rPr>
          <w:rFonts w:ascii="Century Gothic" w:eastAsia="Times New Roman" w:hAnsi="Century Gothic" w:cs="Open Sans"/>
          <w:sz w:val="21"/>
          <w:szCs w:val="21"/>
          <w:lang w:eastAsia="es-ES_tradnl"/>
        </w:rPr>
        <w:t>tiene varios módulos: económico, laboral, ambiental, tecnologías de información y comunicación. En esta guía, mostraremos la información relevante para procesar la información ambiental de las 37</w:t>
      </w:r>
      <w:r w:rsidR="00827B19">
        <w:rPr>
          <w:rFonts w:ascii="Century Gothic" w:eastAsia="Times New Roman" w:hAnsi="Century Gothic" w:cs="Open Sans"/>
          <w:sz w:val="21"/>
          <w:szCs w:val="21"/>
          <w:lang w:eastAsia="es-ES_tradnl"/>
        </w:rPr>
        <w:t>77</w:t>
      </w:r>
      <w:r>
        <w:rPr>
          <w:rFonts w:ascii="Century Gothic" w:eastAsia="Times New Roman" w:hAnsi="Century Gothic" w:cs="Open Sans"/>
          <w:sz w:val="21"/>
          <w:szCs w:val="21"/>
          <w:lang w:eastAsia="es-ES_tradnl"/>
        </w:rPr>
        <w:t xml:space="preserve"> empresas efectivas con información ambiental válida</w:t>
      </w:r>
      <w:r>
        <w:rPr>
          <w:rStyle w:val="Refdenotaalpie"/>
          <w:rFonts w:ascii="Century Gothic" w:eastAsia="Times New Roman" w:hAnsi="Century Gothic" w:cs="Open Sans"/>
          <w:sz w:val="21"/>
          <w:szCs w:val="21"/>
          <w:lang w:eastAsia="es-ES_tradnl"/>
        </w:rPr>
        <w:footnoteReference w:id="1"/>
      </w:r>
      <w:r>
        <w:rPr>
          <w:rFonts w:ascii="Century Gothic" w:eastAsia="Times New Roman" w:hAnsi="Century Gothic" w:cs="Open Sans"/>
          <w:sz w:val="21"/>
          <w:szCs w:val="21"/>
          <w:lang w:eastAsia="es-ES_tradnl"/>
        </w:rPr>
        <w:t>.</w:t>
      </w:r>
    </w:p>
    <w:p w14:paraId="33C2938C" w14:textId="77777777" w:rsidR="00964965" w:rsidRDefault="00964965" w:rsidP="00964965">
      <w:pPr>
        <w:jc w:val="both"/>
        <w:rPr>
          <w:rFonts w:ascii="Century Gothic" w:eastAsia="Times New Roman" w:hAnsi="Century Gothic" w:cs="Open Sans"/>
          <w:sz w:val="21"/>
          <w:szCs w:val="21"/>
          <w:lang w:eastAsia="es-ES_tradnl"/>
        </w:rPr>
      </w:pPr>
    </w:p>
    <w:p w14:paraId="4AA32645" w14:textId="66A4FE0D" w:rsidR="00964965" w:rsidRDefault="00964965" w:rsidP="00964965">
      <w:pPr>
        <w:jc w:val="both"/>
        <w:rPr>
          <w:rFonts w:ascii="Century Gothic" w:eastAsia="Times New Roman" w:hAnsi="Century Gothic" w:cs="Open Sans"/>
          <w:sz w:val="21"/>
          <w:szCs w:val="21"/>
          <w:lang w:eastAsia="es-ES_tradnl"/>
        </w:rPr>
      </w:pPr>
      <w:r w:rsidRPr="00B97999">
        <w:rPr>
          <w:rFonts w:ascii="Century Gothic" w:eastAsia="Times New Roman" w:hAnsi="Century Gothic" w:cs="Open Sans"/>
          <w:sz w:val="21"/>
          <w:szCs w:val="21"/>
          <w:lang w:eastAsia="es-ES_tradnl"/>
        </w:rPr>
        <w:t xml:space="preserve">En la Figura 1 se muestra el resumen metodológico del MA de la ENESEM </w:t>
      </w:r>
      <w:r w:rsidR="00D330B6">
        <w:rPr>
          <w:rFonts w:ascii="Century Gothic" w:eastAsia="Times New Roman" w:hAnsi="Century Gothic" w:cs="Open Sans"/>
          <w:sz w:val="21"/>
          <w:szCs w:val="21"/>
          <w:lang w:eastAsia="es-ES_tradnl"/>
        </w:rPr>
        <w:t>2020</w:t>
      </w:r>
      <w:r w:rsidRPr="00B97999">
        <w:rPr>
          <w:rFonts w:ascii="Century Gothic" w:eastAsia="Times New Roman" w:hAnsi="Century Gothic" w:cs="Open Sans"/>
          <w:sz w:val="21"/>
          <w:szCs w:val="21"/>
          <w:lang w:eastAsia="es-ES_tradnl"/>
        </w:rPr>
        <w:t>, información a conocer previo al uso de la base de datos</w:t>
      </w:r>
      <w:r>
        <w:rPr>
          <w:rStyle w:val="Refdenotaalpie"/>
          <w:rFonts w:ascii="Century Gothic" w:eastAsia="Times New Roman" w:hAnsi="Century Gothic" w:cs="Open Sans"/>
          <w:sz w:val="21"/>
          <w:szCs w:val="21"/>
          <w:lang w:eastAsia="es-ES_tradnl"/>
        </w:rPr>
        <w:footnoteReference w:id="2"/>
      </w:r>
      <w:r w:rsidRPr="00B97999">
        <w:rPr>
          <w:rFonts w:ascii="Century Gothic" w:eastAsia="Times New Roman" w:hAnsi="Century Gothic" w:cs="Open Sans"/>
          <w:sz w:val="21"/>
          <w:szCs w:val="21"/>
          <w:lang w:eastAsia="es-ES_tradnl"/>
        </w:rPr>
        <w:t xml:space="preserve"> y su alcance</w:t>
      </w:r>
      <w:r>
        <w:rPr>
          <w:rFonts w:ascii="Century Gothic" w:eastAsia="Times New Roman" w:hAnsi="Century Gothic" w:cs="Open Sans"/>
          <w:sz w:val="21"/>
          <w:szCs w:val="21"/>
          <w:lang w:eastAsia="es-ES_tradnl"/>
        </w:rPr>
        <w:t>. A continuación, se hace una breve explicación de la información incluida en este gráfico.</w:t>
      </w:r>
    </w:p>
    <w:p w14:paraId="6FFFF8AF" w14:textId="77777777" w:rsidR="00964965" w:rsidRDefault="00964965" w:rsidP="00964965">
      <w:pPr>
        <w:jc w:val="both"/>
        <w:rPr>
          <w:rFonts w:ascii="Century Gothic" w:eastAsia="Times New Roman" w:hAnsi="Century Gothic" w:cs="Open Sans"/>
          <w:sz w:val="21"/>
          <w:szCs w:val="21"/>
          <w:lang w:eastAsia="es-ES_tradnl"/>
        </w:rPr>
      </w:pPr>
    </w:p>
    <w:p w14:paraId="49F446B0" w14:textId="1FE17602"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El muestreo de las empresas para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es probabilístico sin repetición, es decir, se escogen sin reemplazo las empresas al azar de un marco maestro referencial de muestreo, el cual ha sido extraído, a su vez, del Directorio Empresarial 201</w:t>
      </w:r>
      <w:r w:rsidR="00D81690">
        <w:rPr>
          <w:rFonts w:ascii="Century Gothic" w:eastAsia="Times New Roman" w:hAnsi="Century Gothic" w:cs="Open Sans"/>
          <w:sz w:val="21"/>
          <w:szCs w:val="21"/>
          <w:lang w:eastAsia="es-ES_tradnl"/>
        </w:rPr>
        <w:t>9</w:t>
      </w:r>
      <w:r>
        <w:rPr>
          <w:rFonts w:ascii="Century Gothic" w:eastAsia="Times New Roman" w:hAnsi="Century Gothic" w:cs="Open Sans"/>
          <w:sz w:val="21"/>
          <w:szCs w:val="21"/>
          <w:lang w:eastAsia="es-ES_tradnl"/>
        </w:rPr>
        <w:t>, el cual es un listado de empresas grandes, medianas y pequeñas que representan al universo de empresas formales del país.  Para que los resultados de los cálculos obtenidos a partir de las diferentes variables de la ENESEM sean representativos de las actividades económicas del país, se requiere de la activación de una variable agregada de diseño muestral, denominada “Factor de Expansión”, que en el caso de la BDD tiene el nombre “</w:t>
      </w:r>
      <w:r w:rsidRPr="00824327">
        <w:rPr>
          <w:rFonts w:ascii="Century Gothic" w:eastAsia="Times New Roman" w:hAnsi="Century Gothic" w:cs="Open Sans"/>
          <w:b/>
          <w:sz w:val="21"/>
          <w:szCs w:val="21"/>
          <w:lang w:eastAsia="es-ES_tradnl"/>
        </w:rPr>
        <w:t>f</w:t>
      </w:r>
      <w:r w:rsidR="00563CA1">
        <w:rPr>
          <w:rFonts w:ascii="Century Gothic" w:eastAsia="Times New Roman" w:hAnsi="Century Gothic" w:cs="Open Sans"/>
          <w:b/>
          <w:sz w:val="21"/>
          <w:szCs w:val="21"/>
          <w:lang w:eastAsia="es-ES_tradnl"/>
        </w:rPr>
        <w:t>_</w:t>
      </w:r>
      <w:r w:rsidRPr="00824327">
        <w:rPr>
          <w:rFonts w:ascii="Century Gothic" w:eastAsia="Times New Roman" w:hAnsi="Century Gothic" w:cs="Open Sans"/>
          <w:b/>
          <w:sz w:val="21"/>
          <w:szCs w:val="21"/>
          <w:lang w:eastAsia="es-ES_tradnl"/>
        </w:rPr>
        <w:t>exp</w:t>
      </w:r>
      <w:r>
        <w:rPr>
          <w:rFonts w:ascii="Century Gothic" w:eastAsia="Times New Roman" w:hAnsi="Century Gothic" w:cs="Open Sans"/>
          <w:sz w:val="21"/>
          <w:szCs w:val="21"/>
          <w:lang w:eastAsia="es-ES_tradnl"/>
        </w:rPr>
        <w:t>”.</w:t>
      </w:r>
    </w:p>
    <w:p w14:paraId="3B48A42E" w14:textId="77777777" w:rsidR="00964965" w:rsidRDefault="00964965" w:rsidP="00964965">
      <w:pPr>
        <w:jc w:val="both"/>
        <w:rPr>
          <w:rFonts w:ascii="Century Gothic" w:eastAsia="Times New Roman" w:hAnsi="Century Gothic" w:cs="Open Sans"/>
          <w:sz w:val="21"/>
          <w:szCs w:val="21"/>
          <w:lang w:eastAsia="es-ES_tradnl"/>
        </w:rPr>
      </w:pPr>
    </w:p>
    <w:p w14:paraId="6CCF552C" w14:textId="20D74A8D"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El efecto de aplicar el factor de expansión a la BDD es lograr que </w:t>
      </w:r>
      <w:r>
        <w:rPr>
          <w:rFonts w:ascii="Century Gothic" w:eastAsia="Times New Roman" w:hAnsi="Century Gothic" w:cs="Open Sans"/>
          <w:sz w:val="21"/>
          <w:szCs w:val="21"/>
          <w:lang w:eastAsia="es-ES_tradnl"/>
        </w:rPr>
        <w:lastRenderedPageBreak/>
        <w:t xml:space="preserve">todos los resultados de cálculos como agregados estadísticos –promedios, medias, medianas, máximos, mínimos–así como tabulados –como tablas cruzadas o de contingencia–, sean interpretados en términos de todo el marco maestro muestral, del cual puede decirse que tiene la misma estructura o composición de los diferentes tamaños y/o actividades económicas de todo el sector empresarial formal del país. Esto quiere decir, en términos prácticos, que el marco muestral maestro del cual proviene la muestra investigada en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tendría, para la sección económica y laboral, 1</w:t>
      </w:r>
      <w:r w:rsidR="00D81690">
        <w:rPr>
          <w:rFonts w:ascii="Century Gothic" w:eastAsia="Times New Roman" w:hAnsi="Century Gothic" w:cs="Open Sans"/>
          <w:sz w:val="21"/>
          <w:szCs w:val="21"/>
          <w:lang w:eastAsia="es-ES_tradnl"/>
        </w:rPr>
        <w:t>22</w:t>
      </w:r>
      <w:r>
        <w:rPr>
          <w:rFonts w:ascii="Century Gothic" w:eastAsia="Times New Roman" w:hAnsi="Century Gothic" w:cs="Open Sans"/>
          <w:sz w:val="21"/>
          <w:szCs w:val="21"/>
          <w:lang w:eastAsia="es-ES_tradnl"/>
        </w:rPr>
        <w:t>43 empresas expandidas (=37</w:t>
      </w:r>
      <w:r w:rsidR="00D81690">
        <w:rPr>
          <w:rFonts w:ascii="Century Gothic" w:eastAsia="Times New Roman" w:hAnsi="Century Gothic" w:cs="Open Sans"/>
          <w:sz w:val="21"/>
          <w:szCs w:val="21"/>
          <w:lang w:eastAsia="es-ES_tradnl"/>
        </w:rPr>
        <w:t>82</w:t>
      </w:r>
      <w:r>
        <w:rPr>
          <w:rFonts w:ascii="Century Gothic" w:eastAsia="Times New Roman" w:hAnsi="Century Gothic" w:cs="Open Sans"/>
          <w:sz w:val="21"/>
          <w:szCs w:val="21"/>
          <w:lang w:eastAsia="es-ES_tradnl"/>
        </w:rPr>
        <w:t xml:space="preserve"> muestrales), en tanto que para la sección ambiental, son 1</w:t>
      </w:r>
      <w:r w:rsidR="00D81690">
        <w:rPr>
          <w:rFonts w:ascii="Century Gothic" w:eastAsia="Times New Roman" w:hAnsi="Century Gothic" w:cs="Open Sans"/>
          <w:sz w:val="21"/>
          <w:szCs w:val="21"/>
          <w:lang w:eastAsia="es-ES_tradnl"/>
        </w:rPr>
        <w:t>2238</w:t>
      </w:r>
      <w:r>
        <w:rPr>
          <w:rFonts w:ascii="Century Gothic" w:eastAsia="Times New Roman" w:hAnsi="Century Gothic" w:cs="Open Sans"/>
          <w:sz w:val="21"/>
          <w:szCs w:val="21"/>
          <w:lang w:eastAsia="es-ES_tradnl"/>
        </w:rPr>
        <w:t xml:space="preserve"> empresas expandidas (=37</w:t>
      </w:r>
      <w:r w:rsidR="00D81690">
        <w:rPr>
          <w:rFonts w:ascii="Century Gothic" w:eastAsia="Times New Roman" w:hAnsi="Century Gothic" w:cs="Open Sans"/>
          <w:sz w:val="21"/>
          <w:szCs w:val="21"/>
          <w:lang w:eastAsia="es-ES_tradnl"/>
        </w:rPr>
        <w:t>77</w:t>
      </w:r>
      <w:r>
        <w:rPr>
          <w:rFonts w:ascii="Century Gothic" w:eastAsia="Times New Roman" w:hAnsi="Century Gothic" w:cs="Open Sans"/>
          <w:sz w:val="21"/>
          <w:szCs w:val="21"/>
          <w:lang w:eastAsia="es-ES_tradnl"/>
        </w:rPr>
        <w:t xml:space="preserve"> empresas muestrales).</w:t>
      </w:r>
    </w:p>
    <w:p w14:paraId="6903585E" w14:textId="77777777" w:rsidR="00964965" w:rsidRDefault="00964965" w:rsidP="00964965">
      <w:pPr>
        <w:jc w:val="both"/>
        <w:rPr>
          <w:rFonts w:ascii="Century Gothic" w:eastAsia="Times New Roman" w:hAnsi="Century Gothic" w:cs="Open Sans"/>
          <w:sz w:val="21"/>
          <w:szCs w:val="21"/>
          <w:lang w:eastAsia="es-ES_tradnl"/>
        </w:rPr>
      </w:pPr>
    </w:p>
    <w:p w14:paraId="4061F0D4" w14:textId="1B96D199"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Sobre el alcance de los datos de la BDD del MA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o más concretamente, de los cálculos o resultados que se obtienen de ella, en tanto que sean valores absolutos</w:t>
      </w:r>
      <w:r>
        <w:rPr>
          <w:rStyle w:val="Refdenotaalpie"/>
          <w:rFonts w:ascii="Century Gothic" w:eastAsia="Times New Roman" w:hAnsi="Century Gothic" w:cs="Open Sans"/>
          <w:sz w:val="21"/>
          <w:szCs w:val="21"/>
          <w:lang w:eastAsia="es-ES_tradnl"/>
        </w:rPr>
        <w:footnoteReference w:id="3"/>
      </w:r>
      <w:r>
        <w:rPr>
          <w:rFonts w:ascii="Century Gothic" w:eastAsia="Times New Roman" w:hAnsi="Century Gothic" w:cs="Open Sans"/>
          <w:sz w:val="21"/>
          <w:szCs w:val="21"/>
          <w:lang w:eastAsia="es-ES_tradnl"/>
        </w:rPr>
        <w:t xml:space="preserve">, serán </w:t>
      </w:r>
      <w:r w:rsidRPr="00C36E20">
        <w:rPr>
          <w:rFonts w:ascii="Century Gothic" w:eastAsia="Times New Roman" w:hAnsi="Century Gothic" w:cs="Open Sans"/>
          <w:sz w:val="21"/>
          <w:szCs w:val="21"/>
          <w:u w:val="single"/>
          <w:lang w:eastAsia="es-ES_tradnl"/>
        </w:rPr>
        <w:t>referenciales</w:t>
      </w:r>
      <w:r>
        <w:rPr>
          <w:rFonts w:ascii="Century Gothic" w:eastAsia="Times New Roman" w:hAnsi="Century Gothic" w:cs="Open Sans"/>
          <w:sz w:val="21"/>
          <w:szCs w:val="21"/>
          <w:u w:val="single"/>
          <w:lang w:eastAsia="es-ES_tradnl"/>
        </w:rPr>
        <w:t xml:space="preserve"> (representativos)</w:t>
      </w:r>
      <w:r>
        <w:rPr>
          <w:rFonts w:ascii="Century Gothic" w:eastAsia="Times New Roman" w:hAnsi="Century Gothic" w:cs="Open Sans"/>
          <w:sz w:val="21"/>
          <w:szCs w:val="21"/>
          <w:lang w:eastAsia="es-ES_tradnl"/>
        </w:rPr>
        <w:t>, no de lo que sucede en la economía empresarial nacional, sino únicamente de lo que ocurre en el marco maestro muestral referencial. Sin embargo, como ya se mencionó anteriormente, este marco maestro muestral referencial tiene una composición porcentual –por tamaño y/o actividad económica– de sus empresas que es muy similar al universo de todas las empresas formales del país –registradas en el SRI–.</w:t>
      </w:r>
    </w:p>
    <w:p w14:paraId="0860D753" w14:textId="77777777" w:rsidR="00964965" w:rsidRDefault="00964965" w:rsidP="00964965">
      <w:pPr>
        <w:jc w:val="both"/>
        <w:rPr>
          <w:rFonts w:ascii="Century Gothic" w:eastAsia="Times New Roman" w:hAnsi="Century Gothic" w:cs="Open Sans"/>
          <w:sz w:val="21"/>
          <w:szCs w:val="21"/>
          <w:lang w:eastAsia="es-ES_tradnl"/>
        </w:rPr>
      </w:pPr>
    </w:p>
    <w:p w14:paraId="06314A9F" w14:textId="18EFA3E0"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lastRenderedPageBreak/>
        <w:t xml:space="preserve">Este detalle es muy importante, pues sirve de forma crucial para la interpretación de los resultados que se obtengan de todos los cálculos producidos a partir de las BDD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concretamente, de la BDD de su Módulo Ambiental.  Por ejemplo, si se procesa la variable de consumo de energía eléctrica de red pública (variable </w:t>
      </w:r>
      <w:r w:rsidRPr="00C36E20">
        <w:rPr>
          <w:rFonts w:ascii="Century Gothic" w:eastAsia="Times New Roman" w:hAnsi="Century Gothic" w:cs="Open Sans"/>
          <w:b/>
          <w:sz w:val="21"/>
          <w:szCs w:val="21"/>
          <w:lang w:eastAsia="es-ES_tradnl"/>
        </w:rPr>
        <w:t>v9001</w:t>
      </w:r>
      <w:r>
        <w:rPr>
          <w:rFonts w:ascii="Century Gothic" w:eastAsia="Times New Roman" w:hAnsi="Century Gothic" w:cs="Open Sans"/>
          <w:sz w:val="21"/>
          <w:szCs w:val="21"/>
          <w:lang w:eastAsia="es-ES_tradnl"/>
        </w:rPr>
        <w:t>), y se obtiene la cantidad total de este tipo de energía consumida por las empresas a nivel nacional, y se obtiene el valor de 6,</w:t>
      </w:r>
      <w:r w:rsidR="00A95D9D">
        <w:rPr>
          <w:rFonts w:ascii="Century Gothic" w:eastAsia="Times New Roman" w:hAnsi="Century Gothic" w:cs="Open Sans"/>
          <w:sz w:val="21"/>
          <w:szCs w:val="21"/>
          <w:lang w:eastAsia="es-ES_tradnl"/>
        </w:rPr>
        <w:t>477</w:t>
      </w:r>
      <w:r>
        <w:rPr>
          <w:rFonts w:ascii="Century Gothic" w:eastAsia="Times New Roman" w:hAnsi="Century Gothic" w:cs="Open Sans"/>
          <w:sz w:val="21"/>
          <w:szCs w:val="21"/>
          <w:lang w:eastAsia="es-ES_tradnl"/>
        </w:rPr>
        <w:t>.</w:t>
      </w:r>
      <w:r w:rsidR="00A95D9D">
        <w:rPr>
          <w:rFonts w:ascii="Century Gothic" w:eastAsia="Times New Roman" w:hAnsi="Century Gothic" w:cs="Open Sans"/>
          <w:sz w:val="21"/>
          <w:szCs w:val="21"/>
          <w:lang w:eastAsia="es-ES_tradnl"/>
        </w:rPr>
        <w:t>24</w:t>
      </w:r>
      <w:r>
        <w:rPr>
          <w:rFonts w:ascii="Century Gothic" w:eastAsia="Times New Roman" w:hAnsi="Century Gothic" w:cs="Open Sans"/>
          <w:sz w:val="21"/>
          <w:szCs w:val="21"/>
          <w:lang w:eastAsia="es-ES_tradnl"/>
        </w:rPr>
        <w:t xml:space="preserve"> GWh / año, NO quiere decir que éste fue el consumo real absoluto de las empresas formales del país durante el año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Sin embargo, si en forma similar, se obtiene que el valor de energía eléctrica de red pública consumido por las empresas pertenecientes a la actividad económica “</w:t>
      </w:r>
      <w:r w:rsidRPr="00F93BE0">
        <w:rPr>
          <w:rFonts w:ascii="Century Gothic" w:eastAsia="Times New Roman" w:hAnsi="Century Gothic" w:cs="Open Sans"/>
          <w:i/>
          <w:sz w:val="21"/>
          <w:szCs w:val="21"/>
          <w:lang w:eastAsia="es-ES_tradnl"/>
        </w:rPr>
        <w:t>Industria manufacturera</w:t>
      </w:r>
      <w:r>
        <w:rPr>
          <w:rFonts w:ascii="Century Gothic" w:eastAsia="Times New Roman" w:hAnsi="Century Gothic" w:cs="Open Sans"/>
          <w:sz w:val="21"/>
          <w:szCs w:val="21"/>
          <w:lang w:eastAsia="es-ES_tradnl"/>
        </w:rPr>
        <w:t>” es de 3,</w:t>
      </w:r>
      <w:r w:rsidR="00A95D9D">
        <w:rPr>
          <w:rFonts w:ascii="Century Gothic" w:eastAsia="Times New Roman" w:hAnsi="Century Gothic" w:cs="Open Sans"/>
          <w:sz w:val="21"/>
          <w:szCs w:val="21"/>
          <w:lang w:eastAsia="es-ES_tradnl"/>
        </w:rPr>
        <w:t>4</w:t>
      </w:r>
      <w:r>
        <w:rPr>
          <w:rFonts w:ascii="Century Gothic" w:eastAsia="Times New Roman" w:hAnsi="Century Gothic" w:cs="Open Sans"/>
          <w:sz w:val="21"/>
          <w:szCs w:val="21"/>
          <w:lang w:eastAsia="es-ES_tradnl"/>
        </w:rPr>
        <w:t>1</w:t>
      </w:r>
      <w:r w:rsidR="00A95D9D">
        <w:rPr>
          <w:rFonts w:ascii="Century Gothic" w:eastAsia="Times New Roman" w:hAnsi="Century Gothic" w:cs="Open Sans"/>
          <w:sz w:val="21"/>
          <w:szCs w:val="21"/>
          <w:lang w:eastAsia="es-ES_tradnl"/>
        </w:rPr>
        <w:t>5</w:t>
      </w:r>
      <w:r>
        <w:rPr>
          <w:rFonts w:ascii="Century Gothic" w:eastAsia="Times New Roman" w:hAnsi="Century Gothic" w:cs="Open Sans"/>
          <w:sz w:val="21"/>
          <w:szCs w:val="21"/>
          <w:lang w:eastAsia="es-ES_tradnl"/>
        </w:rPr>
        <w:t>.</w:t>
      </w:r>
      <w:r w:rsidR="00A95D9D">
        <w:rPr>
          <w:rFonts w:ascii="Century Gothic" w:eastAsia="Times New Roman" w:hAnsi="Century Gothic" w:cs="Open Sans"/>
          <w:sz w:val="21"/>
          <w:szCs w:val="21"/>
          <w:lang w:eastAsia="es-ES_tradnl"/>
        </w:rPr>
        <w:t>09</w:t>
      </w:r>
      <w:r>
        <w:rPr>
          <w:rFonts w:ascii="Century Gothic" w:eastAsia="Times New Roman" w:hAnsi="Century Gothic" w:cs="Open Sans"/>
          <w:sz w:val="21"/>
          <w:szCs w:val="21"/>
          <w:lang w:eastAsia="es-ES_tradnl"/>
        </w:rPr>
        <w:t xml:space="preserve"> GWh / año, entonces SÍ se puede afirmar que éste sector aporta al consumo total nacional de energía eléctrica con el 3,619.14 / 6,503.85 = 5</w:t>
      </w:r>
      <w:r w:rsidR="001C6732">
        <w:rPr>
          <w:rFonts w:ascii="Century Gothic" w:eastAsia="Times New Roman" w:hAnsi="Century Gothic" w:cs="Open Sans"/>
          <w:sz w:val="21"/>
          <w:szCs w:val="21"/>
          <w:lang w:eastAsia="es-ES_tradnl"/>
        </w:rPr>
        <w:t>2</w:t>
      </w:r>
      <w:r>
        <w:rPr>
          <w:rFonts w:ascii="Century Gothic" w:eastAsia="Times New Roman" w:hAnsi="Century Gothic" w:cs="Open Sans"/>
          <w:sz w:val="21"/>
          <w:szCs w:val="21"/>
          <w:lang w:eastAsia="es-ES_tradnl"/>
        </w:rPr>
        <w:t>.</w:t>
      </w:r>
      <w:r w:rsidR="001C6732">
        <w:rPr>
          <w:rFonts w:ascii="Century Gothic" w:eastAsia="Times New Roman" w:hAnsi="Century Gothic" w:cs="Open Sans"/>
          <w:sz w:val="21"/>
          <w:szCs w:val="21"/>
          <w:lang w:eastAsia="es-ES_tradnl"/>
        </w:rPr>
        <w:t>72</w:t>
      </w:r>
      <w:r>
        <w:rPr>
          <w:rFonts w:ascii="Century Gothic" w:eastAsia="Times New Roman" w:hAnsi="Century Gothic" w:cs="Open Sans"/>
          <w:sz w:val="21"/>
          <w:szCs w:val="21"/>
          <w:lang w:eastAsia="es-ES_tradnl"/>
        </w:rPr>
        <w:t>%, tanto para las empresas del marco maestro muestral, como para las empresas del sector formal nacional.</w:t>
      </w:r>
    </w:p>
    <w:p w14:paraId="2C086378" w14:textId="77777777" w:rsidR="00964965" w:rsidRDefault="00964965" w:rsidP="00964965">
      <w:pPr>
        <w:jc w:val="both"/>
        <w:rPr>
          <w:rFonts w:ascii="Century Gothic" w:eastAsia="Times New Roman" w:hAnsi="Century Gothic" w:cs="Open Sans"/>
          <w:sz w:val="21"/>
          <w:szCs w:val="21"/>
          <w:lang w:eastAsia="es-ES_tradnl"/>
        </w:rPr>
      </w:pPr>
    </w:p>
    <w:p w14:paraId="58DCC4CA" w14:textId="0A6987E5"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Esto lleva a advertir que, al menos para el Módulo Ambiental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sus valores absolutos sí son comparables con los valores correspondientes de las mismas variables, pero de años anteriores. Sin embargo, éstos no reflejan el valor real representativo del total de empresas nacionales, a menos que se traten de proporciones (porcentajes), los cuales SÍ reflejan, en el mayor grado posible, la realidad de todo el sector formal de las empresas nacionales.</w:t>
      </w:r>
    </w:p>
    <w:p w14:paraId="28765D30" w14:textId="77777777" w:rsidR="00964965" w:rsidRDefault="00964965" w:rsidP="00964965">
      <w:pPr>
        <w:jc w:val="both"/>
        <w:rPr>
          <w:rFonts w:ascii="Century Gothic" w:eastAsia="Times New Roman" w:hAnsi="Century Gothic" w:cs="Open Sans"/>
          <w:sz w:val="21"/>
          <w:szCs w:val="21"/>
          <w:lang w:eastAsia="es-ES_tradnl"/>
        </w:rPr>
      </w:pPr>
    </w:p>
    <w:p w14:paraId="5FE1D22D" w14:textId="77777777" w:rsidR="00964965" w:rsidRDefault="00964965" w:rsidP="00964965">
      <w:pPr>
        <w:jc w:val="both"/>
        <w:rPr>
          <w:rFonts w:ascii="Century Gothic" w:eastAsia="Times New Roman" w:hAnsi="Century Gothic" w:cs="Open Sans"/>
          <w:sz w:val="21"/>
          <w:szCs w:val="21"/>
          <w:lang w:eastAsia="es-ES_tradnl"/>
        </w:rPr>
      </w:pPr>
    </w:p>
    <w:p w14:paraId="7548FD15" w14:textId="77777777" w:rsidR="00964965" w:rsidRPr="00F94E0B" w:rsidRDefault="00964965" w:rsidP="00E93839">
      <w:pPr>
        <w:pStyle w:val="Ttulo1"/>
        <w:rPr>
          <w:rFonts w:ascii="Century Gothic" w:eastAsiaTheme="minorHAnsi" w:hAnsi="Century Gothic" w:cstheme="minorBidi"/>
          <w:color w:val="767171" w:themeColor="background2" w:themeShade="80"/>
          <w:sz w:val="36"/>
          <w:szCs w:val="52"/>
          <w:lang w:val="es-EC" w:eastAsia="en-US" w:bidi="ar-SA"/>
        </w:rPr>
      </w:pPr>
      <w:bookmarkStart w:id="5" w:name="_Toc101364190"/>
      <w:r w:rsidRPr="00F94E0B">
        <w:rPr>
          <w:rFonts w:ascii="Century Gothic" w:eastAsiaTheme="minorHAnsi" w:hAnsi="Century Gothic" w:cstheme="minorBidi"/>
          <w:color w:val="767171" w:themeColor="background2" w:themeShade="80"/>
          <w:sz w:val="36"/>
          <w:szCs w:val="52"/>
          <w:lang w:val="es-EC" w:eastAsia="en-US" w:bidi="ar-SA"/>
        </w:rPr>
        <w:lastRenderedPageBreak/>
        <w:t>Variables de diseño de la muestra</w:t>
      </w:r>
      <w:bookmarkEnd w:id="5"/>
    </w:p>
    <w:p w14:paraId="0C220EAF" w14:textId="77777777" w:rsidR="00964965" w:rsidRDefault="00964965" w:rsidP="00964965">
      <w:pPr>
        <w:jc w:val="both"/>
        <w:rPr>
          <w:rFonts w:ascii="Century Gothic" w:eastAsia="Times New Roman" w:hAnsi="Century Gothic" w:cs="Open Sans"/>
          <w:sz w:val="21"/>
          <w:szCs w:val="21"/>
          <w:lang w:eastAsia="es-ES_tradnl"/>
        </w:rPr>
      </w:pPr>
    </w:p>
    <w:p w14:paraId="119A1363" w14:textId="494FD0FB"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Toda muestra probabilística para una encuesta, en particular la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es una en la cual se debe optimizar la cantidad de empresas pertenecientes a las diferentes categorías de las variables de diseño. En el caso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son 2 las variables de diseño muestral: (1) El </w:t>
      </w:r>
      <w:r w:rsidRPr="006E2030">
        <w:rPr>
          <w:rFonts w:ascii="Century Gothic" w:eastAsia="Times New Roman" w:hAnsi="Century Gothic" w:cs="Open Sans"/>
          <w:i/>
          <w:sz w:val="21"/>
          <w:szCs w:val="21"/>
          <w:lang w:eastAsia="es-ES_tradnl"/>
        </w:rPr>
        <w:t>tamaño de la empresa</w:t>
      </w:r>
      <w:r>
        <w:rPr>
          <w:rStyle w:val="Refdenotaalpie"/>
          <w:rFonts w:ascii="Century Gothic" w:eastAsia="Times New Roman" w:hAnsi="Century Gothic" w:cs="Open Sans"/>
          <w:i/>
          <w:sz w:val="21"/>
          <w:szCs w:val="21"/>
          <w:lang w:eastAsia="es-ES_tradnl"/>
        </w:rPr>
        <w:footnoteReference w:id="4"/>
      </w:r>
      <w:r>
        <w:rPr>
          <w:rFonts w:ascii="Century Gothic" w:eastAsia="Times New Roman" w:hAnsi="Century Gothic" w:cs="Open Sans"/>
          <w:sz w:val="21"/>
          <w:szCs w:val="21"/>
          <w:lang w:eastAsia="es-ES_tradnl"/>
        </w:rPr>
        <w:t xml:space="preserve">; y (2) la </w:t>
      </w:r>
      <w:r w:rsidRPr="006E2030">
        <w:rPr>
          <w:rFonts w:ascii="Century Gothic" w:eastAsia="Times New Roman" w:hAnsi="Century Gothic" w:cs="Open Sans"/>
          <w:i/>
          <w:sz w:val="21"/>
          <w:szCs w:val="21"/>
          <w:lang w:eastAsia="es-ES_tradnl"/>
        </w:rPr>
        <w:t>actividad económica</w:t>
      </w:r>
      <w:r>
        <w:rPr>
          <w:rFonts w:ascii="Century Gothic" w:eastAsia="Times New Roman" w:hAnsi="Century Gothic" w:cs="Open Sans"/>
          <w:sz w:val="21"/>
          <w:szCs w:val="21"/>
          <w:lang w:eastAsia="es-ES_tradnl"/>
        </w:rPr>
        <w:t xml:space="preserve"> a la cual se dedica. El cruce de c/u de las actividades económicas con c/u de los tamaños se denomina “</w:t>
      </w:r>
      <w:r w:rsidRPr="00A01BAF">
        <w:rPr>
          <w:rFonts w:ascii="Century Gothic" w:eastAsia="Times New Roman" w:hAnsi="Century Gothic" w:cs="Open Sans"/>
          <w:b/>
          <w:sz w:val="21"/>
          <w:szCs w:val="21"/>
          <w:lang w:eastAsia="es-ES_tradnl"/>
        </w:rPr>
        <w:t>dominio</w:t>
      </w:r>
      <w:r>
        <w:rPr>
          <w:rFonts w:ascii="Century Gothic" w:eastAsia="Times New Roman" w:hAnsi="Century Gothic" w:cs="Open Sans"/>
          <w:sz w:val="21"/>
          <w:szCs w:val="21"/>
          <w:lang w:eastAsia="es-ES_tradnl"/>
        </w:rPr>
        <w:t>” del universo, o simplemente “dominio muestral”.</w:t>
      </w:r>
    </w:p>
    <w:p w14:paraId="5EE67F33" w14:textId="77777777" w:rsidR="00964965" w:rsidRDefault="00964965" w:rsidP="00964965">
      <w:pPr>
        <w:jc w:val="both"/>
        <w:rPr>
          <w:rFonts w:ascii="Century Gothic" w:eastAsia="Times New Roman" w:hAnsi="Century Gothic" w:cs="Open Sans"/>
          <w:sz w:val="21"/>
          <w:szCs w:val="21"/>
          <w:lang w:eastAsia="es-ES_tradnl"/>
        </w:rPr>
      </w:pPr>
    </w:p>
    <w:p w14:paraId="729469F0" w14:textId="77777777" w:rsidR="008A7088"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Esta es la razón por la cual los tabulados e indicadores de publicación se los desagregó, cuando fue posible, por las variables de diseño muestral antes mencionadas. Y esto no es casual: </w:t>
      </w:r>
      <w:r w:rsidRPr="004A0BD8">
        <w:rPr>
          <w:rFonts w:ascii="Century Gothic" w:eastAsia="Times New Roman" w:hAnsi="Century Gothic" w:cs="Open Sans"/>
          <w:i/>
          <w:sz w:val="21"/>
          <w:szCs w:val="21"/>
          <w:lang w:eastAsia="es-ES_tradnl"/>
        </w:rPr>
        <w:t>La incertidumbre de los</w:t>
      </w:r>
      <w:r>
        <w:rPr>
          <w:rFonts w:ascii="Century Gothic" w:eastAsia="Times New Roman" w:hAnsi="Century Gothic" w:cs="Open Sans"/>
          <w:sz w:val="21"/>
          <w:szCs w:val="21"/>
          <w:lang w:eastAsia="es-ES_tradnl"/>
        </w:rPr>
        <w:t xml:space="preserve"> </w:t>
      </w:r>
      <w:r w:rsidRPr="004A0BD8">
        <w:rPr>
          <w:rFonts w:ascii="Century Gothic" w:eastAsia="Times New Roman" w:hAnsi="Century Gothic" w:cs="Open Sans"/>
          <w:i/>
          <w:sz w:val="21"/>
          <w:szCs w:val="21"/>
          <w:lang w:eastAsia="es-ES_tradnl"/>
        </w:rPr>
        <w:t>resultados</w:t>
      </w:r>
      <w:r>
        <w:rPr>
          <w:rFonts w:ascii="Century Gothic" w:eastAsia="Times New Roman" w:hAnsi="Century Gothic" w:cs="Open Sans"/>
          <w:sz w:val="21"/>
          <w:szCs w:val="21"/>
          <w:lang w:eastAsia="es-ES_tradnl"/>
        </w:rPr>
        <w:t xml:space="preserve"> –medidos sea con el coeficiente de variación, sea con la longitud del intervalo de confianza al 95% del estimador del parámetro poblacional– </w:t>
      </w:r>
      <w:r w:rsidRPr="004A0BD8">
        <w:rPr>
          <w:rFonts w:ascii="Century Gothic" w:eastAsia="Times New Roman" w:hAnsi="Century Gothic" w:cs="Open Sans"/>
          <w:i/>
          <w:sz w:val="21"/>
          <w:szCs w:val="21"/>
          <w:lang w:eastAsia="es-ES_tradnl"/>
        </w:rPr>
        <w:t>se minimiza cuando se desagregan los resultados por las variables de diseño muestral</w:t>
      </w:r>
      <w:r>
        <w:rPr>
          <w:rFonts w:ascii="Century Gothic" w:eastAsia="Times New Roman" w:hAnsi="Century Gothic" w:cs="Open Sans"/>
          <w:sz w:val="21"/>
          <w:szCs w:val="21"/>
          <w:lang w:eastAsia="es-ES_tradnl"/>
        </w:rPr>
        <w:t xml:space="preserve">. Lógicamente, si el estimador del parámetro poblacional no se desagrega, sino que se calcula solamente a nivel nacional, tendrá el mismo grado de robustez o superior. </w:t>
      </w:r>
    </w:p>
    <w:p w14:paraId="1D8A11E0" w14:textId="77777777" w:rsidR="008A7088" w:rsidRDefault="008A7088" w:rsidP="00964965">
      <w:pPr>
        <w:jc w:val="both"/>
        <w:rPr>
          <w:rFonts w:ascii="Century Gothic" w:eastAsia="Times New Roman" w:hAnsi="Century Gothic" w:cs="Open Sans"/>
          <w:sz w:val="21"/>
          <w:szCs w:val="21"/>
          <w:lang w:eastAsia="es-ES_tradnl"/>
        </w:rPr>
      </w:pPr>
    </w:p>
    <w:p w14:paraId="4BAAB73F" w14:textId="42B10E9A"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Por tanto, no se recomienda desagregar los estimadores poblacionales por otras variables que no sean las de diseño, a menos que el usuario analista de datos descubra alguna(s) variable(s) altamente correlacionadas con las variables de </w:t>
      </w:r>
      <w:r>
        <w:rPr>
          <w:rFonts w:ascii="Century Gothic" w:eastAsia="Times New Roman" w:hAnsi="Century Gothic" w:cs="Open Sans"/>
          <w:sz w:val="21"/>
          <w:szCs w:val="21"/>
          <w:lang w:eastAsia="es-ES_tradnl"/>
        </w:rPr>
        <w:lastRenderedPageBreak/>
        <w:t>diseño muestral, y luego desagregue los estimadores poblacionales por estas nuevas variables similares a las de diseño.</w:t>
      </w:r>
    </w:p>
    <w:p w14:paraId="6F44BF0E" w14:textId="77777777" w:rsidR="00964965" w:rsidRDefault="00964965" w:rsidP="00964965">
      <w:pPr>
        <w:jc w:val="both"/>
        <w:rPr>
          <w:rFonts w:ascii="Century Gothic" w:eastAsia="Times New Roman" w:hAnsi="Century Gothic" w:cs="Open Sans"/>
          <w:sz w:val="21"/>
          <w:szCs w:val="21"/>
          <w:lang w:eastAsia="es-ES_tradnl"/>
        </w:rPr>
      </w:pPr>
    </w:p>
    <w:p w14:paraId="3B626DC1" w14:textId="2835AC9C"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Aunque no está contemplado en el alcance de este documento el mostrar la manera de calcular la robustez de los datos, sea a través de medidas de variabilidad como el coeficiente de variación o el intervalo de confianza de los estimadores poblacionales, se menciona al menos que es responsabilidad del usuario analista o calculador de los estimadores el investigar cómo calcular dichas medidas de robustez, pues en función del valor de estas medidas se aprobarán como “estables” o “robustos” los resultados obtenidos, o en su defecto, como valores no estables que se alejan de la realidad del verdadero valor del parámetro poblacional que se estima con los cálculos a partir de la BDD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w:t>
      </w:r>
    </w:p>
    <w:p w14:paraId="47A31B99" w14:textId="5B36F198" w:rsidR="00964965" w:rsidRPr="00F94E0B" w:rsidRDefault="00964965" w:rsidP="0053736A">
      <w:pPr>
        <w:pStyle w:val="Ttulo1"/>
        <w:rPr>
          <w:rFonts w:ascii="Century Gothic" w:eastAsiaTheme="minorHAnsi" w:hAnsi="Century Gothic" w:cstheme="minorBidi"/>
          <w:color w:val="767171" w:themeColor="background2" w:themeShade="80"/>
          <w:sz w:val="36"/>
          <w:szCs w:val="52"/>
          <w:lang w:val="es-EC" w:eastAsia="en-US" w:bidi="ar-SA"/>
        </w:rPr>
      </w:pPr>
      <w:bookmarkStart w:id="6" w:name="_Toc101364191"/>
      <w:r w:rsidRPr="00F94E0B">
        <w:rPr>
          <w:rFonts w:ascii="Century Gothic" w:eastAsiaTheme="minorHAnsi" w:hAnsi="Century Gothic" w:cstheme="minorBidi"/>
          <w:color w:val="767171" w:themeColor="background2" w:themeShade="80"/>
          <w:sz w:val="36"/>
          <w:szCs w:val="52"/>
          <w:lang w:val="es-EC" w:eastAsia="en-US" w:bidi="ar-SA"/>
        </w:rPr>
        <w:t xml:space="preserve">Variables de la BDD del Módulo Ambiental de la ENESEM </w:t>
      </w:r>
      <w:r w:rsidR="00D330B6" w:rsidRPr="00F94E0B">
        <w:rPr>
          <w:rFonts w:ascii="Century Gothic" w:eastAsiaTheme="minorHAnsi" w:hAnsi="Century Gothic" w:cstheme="minorBidi"/>
          <w:color w:val="767171" w:themeColor="background2" w:themeShade="80"/>
          <w:sz w:val="36"/>
          <w:szCs w:val="52"/>
          <w:lang w:val="es-EC" w:eastAsia="en-US" w:bidi="ar-SA"/>
        </w:rPr>
        <w:t>2020</w:t>
      </w:r>
      <w:r w:rsidRPr="00F94E0B">
        <w:rPr>
          <w:rFonts w:ascii="Century Gothic" w:eastAsiaTheme="minorHAnsi" w:hAnsi="Century Gothic" w:cstheme="minorBidi"/>
          <w:color w:val="767171" w:themeColor="background2" w:themeShade="80"/>
          <w:sz w:val="36"/>
          <w:szCs w:val="52"/>
          <w:lang w:val="es-EC" w:eastAsia="en-US" w:bidi="ar-SA"/>
        </w:rPr>
        <w:t xml:space="preserve"> y su uso</w:t>
      </w:r>
      <w:bookmarkEnd w:id="6"/>
    </w:p>
    <w:p w14:paraId="5766A7BA" w14:textId="77777777" w:rsidR="00964965" w:rsidRDefault="00964965" w:rsidP="00964965">
      <w:pPr>
        <w:jc w:val="both"/>
        <w:rPr>
          <w:rFonts w:ascii="Century Gothic" w:eastAsia="Times New Roman" w:hAnsi="Century Gothic" w:cs="Open Sans"/>
          <w:sz w:val="21"/>
          <w:szCs w:val="21"/>
          <w:lang w:eastAsia="es-ES_tradnl"/>
        </w:rPr>
      </w:pPr>
    </w:p>
    <w:p w14:paraId="183D8109" w14:textId="50F2F55E"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Las variables de la BDD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atendiendo a su aplicación y utilidad operativa, se clasifican en cuatro tipos:</w:t>
      </w:r>
    </w:p>
    <w:p w14:paraId="0A8BF06B" w14:textId="77777777" w:rsidR="00964965" w:rsidRDefault="00964965" w:rsidP="00964965">
      <w:pPr>
        <w:jc w:val="both"/>
        <w:rPr>
          <w:rFonts w:ascii="Century Gothic" w:eastAsia="Times New Roman" w:hAnsi="Century Gothic" w:cs="Open Sans"/>
          <w:sz w:val="21"/>
          <w:szCs w:val="21"/>
          <w:lang w:eastAsia="es-ES_tradnl"/>
        </w:rPr>
      </w:pPr>
    </w:p>
    <w:p w14:paraId="3592EA8D" w14:textId="77777777" w:rsidR="00964965" w:rsidRDefault="00964965" w:rsidP="00964965">
      <w:pPr>
        <w:pStyle w:val="Prrafodelista"/>
        <w:numPr>
          <w:ilvl w:val="0"/>
          <w:numId w:val="14"/>
        </w:numPr>
        <w:jc w:val="both"/>
        <w:rPr>
          <w:rFonts w:ascii="Century Gothic" w:eastAsia="Times New Roman" w:hAnsi="Century Gothic" w:cs="Open Sans"/>
          <w:sz w:val="21"/>
          <w:szCs w:val="21"/>
          <w:lang w:eastAsia="es-ES_tradnl"/>
        </w:rPr>
      </w:pPr>
      <w:r w:rsidRPr="00AC5668">
        <w:rPr>
          <w:rFonts w:ascii="Century Gothic" w:eastAsia="Times New Roman" w:hAnsi="Century Gothic" w:cs="Open Sans"/>
          <w:i/>
          <w:sz w:val="21"/>
          <w:szCs w:val="21"/>
          <w:lang w:eastAsia="es-ES_tradnl"/>
        </w:rPr>
        <w:t xml:space="preserve">Identificadoras: </w:t>
      </w:r>
      <w:r w:rsidRPr="00AC5668">
        <w:rPr>
          <w:rFonts w:ascii="Century Gothic" w:eastAsia="Times New Roman" w:hAnsi="Century Gothic" w:cs="Open Sans"/>
          <w:sz w:val="21"/>
          <w:szCs w:val="21"/>
          <w:lang w:eastAsia="es-ES_tradnl"/>
        </w:rPr>
        <w:t>Son variables que, como su</w:t>
      </w:r>
      <w:r>
        <w:rPr>
          <w:rFonts w:ascii="Century Gothic" w:eastAsia="Times New Roman" w:hAnsi="Century Gothic" w:cs="Open Sans"/>
          <w:sz w:val="21"/>
          <w:szCs w:val="21"/>
          <w:lang w:eastAsia="es-ES_tradnl"/>
        </w:rPr>
        <w:t xml:space="preserve"> nombre lo indica, identifican a c/u de las unidades de investigación y de análisis, es decir, empresas efectivas de la muestra.</w:t>
      </w:r>
    </w:p>
    <w:p w14:paraId="603CE71B" w14:textId="77777777" w:rsidR="00964965" w:rsidRPr="001C2588" w:rsidRDefault="00964965" w:rsidP="00964965">
      <w:pPr>
        <w:pStyle w:val="Prrafodelista"/>
        <w:numPr>
          <w:ilvl w:val="0"/>
          <w:numId w:val="14"/>
        </w:numPr>
        <w:jc w:val="both"/>
        <w:rPr>
          <w:rFonts w:ascii="Century Gothic" w:eastAsia="Times New Roman" w:hAnsi="Century Gothic" w:cs="Open Sans"/>
          <w:sz w:val="21"/>
          <w:szCs w:val="21"/>
          <w:lang w:eastAsia="es-ES_tradnl"/>
        </w:rPr>
      </w:pPr>
      <w:r>
        <w:rPr>
          <w:rFonts w:ascii="Century Gothic" w:eastAsia="Times New Roman" w:hAnsi="Century Gothic" w:cs="Open Sans"/>
          <w:i/>
          <w:sz w:val="21"/>
          <w:szCs w:val="21"/>
          <w:lang w:eastAsia="es-ES_tradnl"/>
        </w:rPr>
        <w:t>De diseño:</w:t>
      </w:r>
      <w:r>
        <w:rPr>
          <w:rFonts w:ascii="Century Gothic" w:eastAsia="Times New Roman" w:hAnsi="Century Gothic" w:cs="Open Sans"/>
          <w:sz w:val="21"/>
          <w:szCs w:val="21"/>
          <w:lang w:eastAsia="es-ES_tradnl"/>
        </w:rPr>
        <w:t xml:space="preserve"> Son las variables que se usaron, tanto para calcular el tamaño de la muestra por cada dominio, así como los factores de expansión inicial y final de la BDD.</w:t>
      </w:r>
    </w:p>
    <w:p w14:paraId="1B7AE661" w14:textId="77777777" w:rsidR="00964965" w:rsidRDefault="00964965" w:rsidP="00964965">
      <w:pPr>
        <w:pStyle w:val="Prrafodelista"/>
        <w:numPr>
          <w:ilvl w:val="0"/>
          <w:numId w:val="14"/>
        </w:numPr>
        <w:jc w:val="both"/>
        <w:rPr>
          <w:rFonts w:ascii="Century Gothic" w:eastAsia="Times New Roman" w:hAnsi="Century Gothic" w:cs="Open Sans"/>
          <w:sz w:val="21"/>
          <w:szCs w:val="21"/>
          <w:lang w:eastAsia="es-ES_tradnl"/>
        </w:rPr>
      </w:pPr>
      <w:r>
        <w:rPr>
          <w:rFonts w:ascii="Century Gothic" w:eastAsia="Times New Roman" w:hAnsi="Century Gothic" w:cs="Open Sans"/>
          <w:i/>
          <w:sz w:val="21"/>
          <w:szCs w:val="21"/>
          <w:lang w:eastAsia="es-ES_tradnl"/>
        </w:rPr>
        <w:t>De investigación o temáticas:</w:t>
      </w:r>
      <w:r>
        <w:rPr>
          <w:rFonts w:ascii="Century Gothic" w:eastAsia="Times New Roman" w:hAnsi="Century Gothic" w:cs="Open Sans"/>
          <w:sz w:val="21"/>
          <w:szCs w:val="21"/>
          <w:lang w:eastAsia="es-ES_tradnl"/>
        </w:rPr>
        <w:t xml:space="preserve"> Son variables que recaban, según las </w:t>
      </w:r>
      <w:r>
        <w:rPr>
          <w:rFonts w:ascii="Century Gothic" w:eastAsia="Times New Roman" w:hAnsi="Century Gothic" w:cs="Open Sans"/>
          <w:sz w:val="21"/>
          <w:szCs w:val="21"/>
          <w:lang w:eastAsia="es-ES_tradnl"/>
        </w:rPr>
        <w:lastRenderedPageBreak/>
        <w:t>temáticas señaladas en la parte introductoria, elementos de información de dichas temáticas.</w:t>
      </w:r>
    </w:p>
    <w:p w14:paraId="54E4DC79" w14:textId="77777777" w:rsidR="00964965" w:rsidRPr="00AC5668" w:rsidRDefault="00964965" w:rsidP="00964965">
      <w:pPr>
        <w:pStyle w:val="Prrafodelista"/>
        <w:numPr>
          <w:ilvl w:val="0"/>
          <w:numId w:val="14"/>
        </w:numPr>
        <w:jc w:val="both"/>
        <w:rPr>
          <w:rFonts w:ascii="Century Gothic" w:eastAsia="Times New Roman" w:hAnsi="Century Gothic" w:cs="Open Sans"/>
          <w:sz w:val="21"/>
          <w:szCs w:val="21"/>
          <w:lang w:eastAsia="es-ES_tradnl"/>
        </w:rPr>
      </w:pPr>
      <w:r>
        <w:rPr>
          <w:rFonts w:ascii="Century Gothic" w:eastAsia="Times New Roman" w:hAnsi="Century Gothic" w:cs="Open Sans"/>
          <w:i/>
          <w:sz w:val="21"/>
          <w:szCs w:val="21"/>
          <w:lang w:eastAsia="es-ES_tradnl"/>
        </w:rPr>
        <w:t>Derivadas:</w:t>
      </w:r>
      <w:r>
        <w:rPr>
          <w:rFonts w:ascii="Century Gothic" w:eastAsia="Times New Roman" w:hAnsi="Century Gothic" w:cs="Open Sans"/>
          <w:sz w:val="21"/>
          <w:szCs w:val="21"/>
          <w:lang w:eastAsia="es-ES_tradnl"/>
        </w:rPr>
        <w:t xml:space="preserve"> Son variables que resultan de cálculos en cuyas fórmulas intervienen una o más de las variables de investigación y que ameritan ser publicadas en conjunto con la BDD, o bien son variables que separan en categorías útiles para el procesamiento segmentado de datos.</w:t>
      </w:r>
    </w:p>
    <w:p w14:paraId="6AEAE180" w14:textId="77777777" w:rsidR="00964965" w:rsidRDefault="00964965" w:rsidP="00964965">
      <w:pPr>
        <w:jc w:val="both"/>
        <w:rPr>
          <w:rFonts w:ascii="Century Gothic" w:eastAsia="Times New Roman" w:hAnsi="Century Gothic" w:cs="Open Sans"/>
          <w:sz w:val="21"/>
          <w:szCs w:val="21"/>
          <w:lang w:eastAsia="es-ES_tradnl"/>
        </w:rPr>
      </w:pPr>
    </w:p>
    <w:p w14:paraId="4FD9D9A5" w14:textId="2F8B63E1"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Las </w:t>
      </w:r>
      <w:r w:rsidRPr="00BE4C1B">
        <w:rPr>
          <w:rFonts w:ascii="Century Gothic" w:eastAsia="Times New Roman" w:hAnsi="Century Gothic" w:cs="Open Sans"/>
          <w:i/>
          <w:sz w:val="21"/>
          <w:szCs w:val="21"/>
          <w:lang w:eastAsia="es-ES_tradnl"/>
        </w:rPr>
        <w:t>variables identificadoras</w:t>
      </w:r>
      <w:r>
        <w:rPr>
          <w:rFonts w:ascii="Century Gothic" w:eastAsia="Times New Roman" w:hAnsi="Century Gothic" w:cs="Open Sans"/>
          <w:sz w:val="21"/>
          <w:szCs w:val="21"/>
          <w:lang w:eastAsia="es-ES_tradnl"/>
        </w:rPr>
        <w:t xml:space="preserve"> de la BDD del MA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que normalmente son las que encabezan la lista de variables en orden de aparición, son las siguientes:</w:t>
      </w:r>
    </w:p>
    <w:p w14:paraId="737F6961" w14:textId="77777777" w:rsidR="00964965" w:rsidRDefault="00964965" w:rsidP="00964965">
      <w:pPr>
        <w:jc w:val="both"/>
        <w:rPr>
          <w:rFonts w:ascii="Century Gothic" w:eastAsia="Times New Roman" w:hAnsi="Century Gothic" w:cs="Open Sans"/>
          <w:sz w:val="21"/>
          <w:szCs w:val="21"/>
          <w:lang w:eastAsia="es-ES_tradnl"/>
        </w:rPr>
      </w:pPr>
    </w:p>
    <w:p w14:paraId="79FA914A" w14:textId="7E29C6CA" w:rsidR="00964965" w:rsidRPr="001C2588" w:rsidRDefault="00964965" w:rsidP="00964965">
      <w:pPr>
        <w:pStyle w:val="Descripcin"/>
        <w:jc w:val="both"/>
        <w:rPr>
          <w:rFonts w:cstheme="minorHAnsi"/>
          <w:i w:val="0"/>
          <w:color w:val="auto"/>
          <w:sz w:val="16"/>
        </w:rPr>
      </w:pPr>
      <w:bookmarkStart w:id="7" w:name="_Toc101364155"/>
      <w:r w:rsidRPr="00646F55">
        <w:rPr>
          <w:b/>
          <w:bCs/>
          <w:i w:val="0"/>
          <w:color w:val="auto"/>
          <w:sz w:val="16"/>
        </w:rPr>
        <w:t xml:space="preserve">Tabla </w:t>
      </w:r>
      <w:r w:rsidRPr="00646F55">
        <w:rPr>
          <w:b/>
          <w:bCs/>
          <w:i w:val="0"/>
          <w:color w:val="auto"/>
          <w:sz w:val="16"/>
        </w:rPr>
        <w:fldChar w:fldCharType="begin"/>
      </w:r>
      <w:r w:rsidRPr="00646F55">
        <w:rPr>
          <w:b/>
          <w:bCs/>
          <w:i w:val="0"/>
          <w:color w:val="auto"/>
          <w:sz w:val="16"/>
        </w:rPr>
        <w:instrText xml:space="preserve"> SEQ Tabla \* ARABIC </w:instrText>
      </w:r>
      <w:r w:rsidRPr="00646F55">
        <w:rPr>
          <w:b/>
          <w:bCs/>
          <w:i w:val="0"/>
          <w:color w:val="auto"/>
          <w:sz w:val="16"/>
        </w:rPr>
        <w:fldChar w:fldCharType="separate"/>
      </w:r>
      <w:r>
        <w:rPr>
          <w:b/>
          <w:bCs/>
          <w:i w:val="0"/>
          <w:noProof/>
          <w:color w:val="auto"/>
          <w:sz w:val="16"/>
        </w:rPr>
        <w:t>1</w:t>
      </w:r>
      <w:r w:rsidRPr="00646F55">
        <w:rPr>
          <w:b/>
          <w:bCs/>
          <w:i w:val="0"/>
          <w:color w:val="auto"/>
          <w:sz w:val="16"/>
        </w:rPr>
        <w:fldChar w:fldCharType="end"/>
      </w:r>
      <w:r w:rsidRPr="00646F55">
        <w:rPr>
          <w:b/>
          <w:bCs/>
          <w:i w:val="0"/>
          <w:color w:val="auto"/>
          <w:sz w:val="16"/>
        </w:rPr>
        <w:t xml:space="preserve">. </w:t>
      </w:r>
      <w:r>
        <w:rPr>
          <w:rFonts w:cstheme="minorHAnsi"/>
          <w:i w:val="0"/>
          <w:color w:val="auto"/>
          <w:sz w:val="16"/>
        </w:rPr>
        <w:t xml:space="preserve">Lista de variables identificadoras de la BDD del MA de la ENESEM </w:t>
      </w:r>
      <w:r w:rsidR="00D330B6">
        <w:rPr>
          <w:rFonts w:cstheme="minorHAnsi"/>
          <w:i w:val="0"/>
          <w:color w:val="auto"/>
          <w:sz w:val="16"/>
        </w:rPr>
        <w:t>2020</w:t>
      </w:r>
      <w:r w:rsidRPr="00646F55">
        <w:rPr>
          <w:rFonts w:cstheme="minorHAnsi"/>
          <w:i w:val="0"/>
          <w:color w:val="auto"/>
          <w:sz w:val="16"/>
        </w:rPr>
        <w:t>.</w:t>
      </w:r>
      <w:bookmarkEnd w:id="7"/>
    </w:p>
    <w:tbl>
      <w:tblPr>
        <w:tblStyle w:val="Tablaconcuadrcula"/>
        <w:tblW w:w="0" w:type="auto"/>
        <w:tblLayout w:type="fixed"/>
        <w:tblLook w:val="04A0" w:firstRow="1" w:lastRow="0" w:firstColumn="1" w:lastColumn="0" w:noHBand="0" w:noVBand="1"/>
      </w:tblPr>
      <w:tblGrid>
        <w:gridCol w:w="1885"/>
        <w:gridCol w:w="2000"/>
      </w:tblGrid>
      <w:tr w:rsidR="00964965" w14:paraId="7D17C094" w14:textId="77777777" w:rsidTr="00C844C2">
        <w:tc>
          <w:tcPr>
            <w:tcW w:w="1885" w:type="dxa"/>
            <w:shd w:val="clear" w:color="auto" w:fill="D9E2F3" w:themeFill="accent1" w:themeFillTint="33"/>
            <w:vAlign w:val="center"/>
          </w:tcPr>
          <w:p w14:paraId="1CA4C92F" w14:textId="77777777" w:rsidR="00964965" w:rsidRPr="001C2588" w:rsidRDefault="00964965" w:rsidP="00C844C2">
            <w:pPr>
              <w:jc w:val="both"/>
              <w:rPr>
                <w:rFonts w:ascii="Century Gothic" w:eastAsia="Times New Roman" w:hAnsi="Century Gothic" w:cs="Open Sans"/>
                <w:b/>
                <w:sz w:val="18"/>
                <w:szCs w:val="21"/>
                <w:lang w:eastAsia="es-ES_tradnl"/>
              </w:rPr>
            </w:pPr>
            <w:r w:rsidRPr="001C2588">
              <w:rPr>
                <w:rFonts w:ascii="Century Gothic" w:eastAsia="Times New Roman" w:hAnsi="Century Gothic" w:cs="Open Sans"/>
                <w:b/>
                <w:sz w:val="18"/>
                <w:szCs w:val="21"/>
                <w:lang w:eastAsia="es-ES_tradnl"/>
              </w:rPr>
              <w:t>Nombre de</w:t>
            </w:r>
            <w:r>
              <w:rPr>
                <w:rFonts w:ascii="Century Gothic" w:eastAsia="Times New Roman" w:hAnsi="Century Gothic" w:cs="Open Sans"/>
                <w:b/>
                <w:sz w:val="18"/>
                <w:szCs w:val="21"/>
                <w:lang w:eastAsia="es-ES_tradnl"/>
              </w:rPr>
              <w:t xml:space="preserve"> la</w:t>
            </w:r>
            <w:r w:rsidRPr="001C2588">
              <w:rPr>
                <w:rFonts w:ascii="Century Gothic" w:eastAsia="Times New Roman" w:hAnsi="Century Gothic" w:cs="Open Sans"/>
                <w:b/>
                <w:sz w:val="18"/>
                <w:szCs w:val="21"/>
                <w:lang w:eastAsia="es-ES_tradnl"/>
              </w:rPr>
              <w:t xml:space="preserve"> variable</w:t>
            </w:r>
          </w:p>
        </w:tc>
        <w:tc>
          <w:tcPr>
            <w:tcW w:w="2000" w:type="dxa"/>
            <w:shd w:val="clear" w:color="auto" w:fill="D9E2F3" w:themeFill="accent1" w:themeFillTint="33"/>
            <w:vAlign w:val="center"/>
          </w:tcPr>
          <w:p w14:paraId="78C6C8F1" w14:textId="77777777" w:rsidR="00964965" w:rsidRPr="001C2588" w:rsidRDefault="00964965" w:rsidP="00C844C2">
            <w:pPr>
              <w:jc w:val="both"/>
              <w:rPr>
                <w:rFonts w:ascii="Century Gothic" w:eastAsia="Times New Roman" w:hAnsi="Century Gothic" w:cs="Open Sans"/>
                <w:b/>
                <w:sz w:val="18"/>
                <w:szCs w:val="21"/>
                <w:lang w:eastAsia="es-ES_tradnl"/>
              </w:rPr>
            </w:pPr>
            <w:r w:rsidRPr="001C2588">
              <w:rPr>
                <w:rFonts w:ascii="Century Gothic" w:eastAsia="Times New Roman" w:hAnsi="Century Gothic" w:cs="Open Sans"/>
                <w:b/>
                <w:sz w:val="18"/>
                <w:szCs w:val="21"/>
                <w:lang w:eastAsia="es-ES_tradnl"/>
              </w:rPr>
              <w:t>Descripción</w:t>
            </w:r>
          </w:p>
        </w:tc>
      </w:tr>
      <w:tr w:rsidR="00964965" w14:paraId="5D33F608" w14:textId="77777777" w:rsidTr="00C844C2">
        <w:tc>
          <w:tcPr>
            <w:tcW w:w="1885" w:type="dxa"/>
          </w:tcPr>
          <w:p w14:paraId="1343F7DD" w14:textId="77777777" w:rsidR="00964965" w:rsidRPr="0045578C" w:rsidRDefault="00964965" w:rsidP="00C844C2">
            <w:pPr>
              <w:jc w:val="both"/>
              <w:rPr>
                <w:rFonts w:ascii="Arial Narrow" w:eastAsia="Times New Roman" w:hAnsi="Arial Narrow" w:cs="Open Sans"/>
                <w:sz w:val="20"/>
                <w:szCs w:val="18"/>
                <w:lang w:eastAsia="es-ES_tradnl"/>
              </w:rPr>
            </w:pPr>
            <w:r w:rsidRPr="0045578C">
              <w:rPr>
                <w:rFonts w:ascii="Arial Narrow" w:hAnsi="Arial Narrow"/>
                <w:sz w:val="20"/>
                <w:szCs w:val="18"/>
              </w:rPr>
              <w:t>inec_identificador_empresa</w:t>
            </w:r>
          </w:p>
        </w:tc>
        <w:tc>
          <w:tcPr>
            <w:tcW w:w="2000" w:type="dxa"/>
          </w:tcPr>
          <w:p w14:paraId="318883C5" w14:textId="77777777" w:rsidR="00964965" w:rsidRPr="0045578C" w:rsidRDefault="00964965" w:rsidP="00C844C2">
            <w:pPr>
              <w:jc w:val="both"/>
              <w:rPr>
                <w:rFonts w:ascii="Arial Narrow" w:eastAsia="Times New Roman" w:hAnsi="Arial Narrow" w:cs="Open Sans"/>
                <w:sz w:val="21"/>
                <w:szCs w:val="21"/>
                <w:lang w:eastAsia="es-ES_tradnl"/>
              </w:rPr>
            </w:pPr>
            <w:r w:rsidRPr="0045578C">
              <w:rPr>
                <w:rFonts w:ascii="Arial Narrow" w:hAnsi="Arial Narrow"/>
                <w:sz w:val="21"/>
                <w:szCs w:val="21"/>
              </w:rPr>
              <w:t>Identificador de empresa</w:t>
            </w:r>
          </w:p>
        </w:tc>
      </w:tr>
      <w:tr w:rsidR="001A5D8D" w14:paraId="7C1BEE44" w14:textId="77777777" w:rsidTr="00C844C2">
        <w:tc>
          <w:tcPr>
            <w:tcW w:w="1885" w:type="dxa"/>
          </w:tcPr>
          <w:p w14:paraId="54806C6B" w14:textId="17B40B26" w:rsidR="001A5D8D" w:rsidRPr="0045578C" w:rsidRDefault="001A5D8D" w:rsidP="00C844C2">
            <w:pPr>
              <w:jc w:val="both"/>
              <w:rPr>
                <w:rFonts w:ascii="Arial Narrow" w:hAnsi="Arial Narrow"/>
                <w:sz w:val="20"/>
                <w:szCs w:val="18"/>
              </w:rPr>
            </w:pPr>
            <w:r>
              <w:rPr>
                <w:rFonts w:ascii="Arial Narrow" w:hAnsi="Arial Narrow"/>
                <w:sz w:val="20"/>
                <w:szCs w:val="18"/>
              </w:rPr>
              <w:t>provincia</w:t>
            </w:r>
          </w:p>
        </w:tc>
        <w:tc>
          <w:tcPr>
            <w:tcW w:w="2000" w:type="dxa"/>
          </w:tcPr>
          <w:p w14:paraId="5DCC27B3" w14:textId="222C7403" w:rsidR="001A5D8D" w:rsidRPr="0045578C" w:rsidRDefault="001A5D8D" w:rsidP="00C844C2">
            <w:pPr>
              <w:jc w:val="both"/>
              <w:rPr>
                <w:rFonts w:ascii="Arial Narrow" w:hAnsi="Arial Narrow"/>
                <w:sz w:val="21"/>
                <w:szCs w:val="21"/>
              </w:rPr>
            </w:pPr>
            <w:r>
              <w:rPr>
                <w:rFonts w:ascii="Arial Narrow" w:hAnsi="Arial Narrow"/>
                <w:sz w:val="21"/>
                <w:szCs w:val="21"/>
              </w:rPr>
              <w:t>Provincia sede de la empresa</w:t>
            </w:r>
          </w:p>
        </w:tc>
      </w:tr>
      <w:tr w:rsidR="00964965" w14:paraId="27ECBA9F" w14:textId="77777777" w:rsidTr="00C844C2">
        <w:tc>
          <w:tcPr>
            <w:tcW w:w="1885" w:type="dxa"/>
          </w:tcPr>
          <w:p w14:paraId="2D72661A" w14:textId="77777777" w:rsidR="00964965" w:rsidRPr="0045578C" w:rsidRDefault="00964965" w:rsidP="00C844C2">
            <w:pPr>
              <w:jc w:val="both"/>
              <w:rPr>
                <w:rFonts w:ascii="Arial Narrow" w:eastAsia="Times New Roman" w:hAnsi="Arial Narrow" w:cs="Open Sans"/>
                <w:sz w:val="20"/>
                <w:szCs w:val="18"/>
                <w:lang w:eastAsia="es-ES_tradnl"/>
              </w:rPr>
            </w:pPr>
            <w:r w:rsidRPr="0045578C">
              <w:rPr>
                <w:rFonts w:ascii="Arial Narrow" w:hAnsi="Arial Narrow"/>
                <w:sz w:val="20"/>
                <w:szCs w:val="18"/>
              </w:rPr>
              <w:t>cod_tamano</w:t>
            </w:r>
          </w:p>
        </w:tc>
        <w:tc>
          <w:tcPr>
            <w:tcW w:w="2000" w:type="dxa"/>
          </w:tcPr>
          <w:p w14:paraId="18C3BB14" w14:textId="520BD618" w:rsidR="00964965" w:rsidRPr="0045578C" w:rsidRDefault="00964965" w:rsidP="00C844C2">
            <w:pPr>
              <w:jc w:val="both"/>
              <w:rPr>
                <w:rFonts w:ascii="Arial Narrow" w:eastAsia="Times New Roman" w:hAnsi="Arial Narrow" w:cs="Open Sans"/>
                <w:sz w:val="21"/>
                <w:szCs w:val="21"/>
                <w:lang w:eastAsia="es-ES_tradnl"/>
              </w:rPr>
            </w:pPr>
            <w:r w:rsidRPr="0045578C">
              <w:rPr>
                <w:rFonts w:ascii="Arial Narrow" w:hAnsi="Arial Narrow"/>
                <w:sz w:val="21"/>
                <w:szCs w:val="21"/>
              </w:rPr>
              <w:t>C</w:t>
            </w:r>
            <w:r w:rsidR="001A5D8D">
              <w:rPr>
                <w:rFonts w:ascii="Arial Narrow" w:hAnsi="Arial Narrow"/>
                <w:sz w:val="21"/>
                <w:szCs w:val="21"/>
              </w:rPr>
              <w:t>ategoría de</w:t>
            </w:r>
            <w:r w:rsidRPr="0045578C">
              <w:rPr>
                <w:rFonts w:ascii="Arial Narrow" w:hAnsi="Arial Narrow"/>
                <w:sz w:val="21"/>
                <w:szCs w:val="21"/>
              </w:rPr>
              <w:t xml:space="preserve"> tamaño de </w:t>
            </w:r>
            <w:r w:rsidR="001A5D8D">
              <w:rPr>
                <w:rFonts w:ascii="Arial Narrow" w:hAnsi="Arial Narrow"/>
                <w:sz w:val="21"/>
                <w:szCs w:val="21"/>
              </w:rPr>
              <w:t xml:space="preserve">la </w:t>
            </w:r>
            <w:r w:rsidRPr="0045578C">
              <w:rPr>
                <w:rFonts w:ascii="Arial Narrow" w:hAnsi="Arial Narrow"/>
                <w:sz w:val="21"/>
                <w:szCs w:val="21"/>
              </w:rPr>
              <w:t>empresa</w:t>
            </w:r>
          </w:p>
        </w:tc>
      </w:tr>
      <w:tr w:rsidR="00F86B92" w14:paraId="4DBA59C1" w14:textId="77777777" w:rsidTr="00C844C2">
        <w:tc>
          <w:tcPr>
            <w:tcW w:w="1885" w:type="dxa"/>
          </w:tcPr>
          <w:p w14:paraId="2A2BCCAA" w14:textId="66CAD072" w:rsidR="00F86B92" w:rsidRPr="0045578C" w:rsidRDefault="00F86B92" w:rsidP="00F86B92">
            <w:pPr>
              <w:jc w:val="both"/>
              <w:rPr>
                <w:rFonts w:ascii="Arial Narrow" w:hAnsi="Arial Narrow"/>
                <w:sz w:val="20"/>
                <w:szCs w:val="18"/>
              </w:rPr>
            </w:pPr>
            <w:r w:rsidRPr="0045578C">
              <w:rPr>
                <w:rFonts w:ascii="Arial Narrow" w:hAnsi="Arial Narrow"/>
                <w:sz w:val="20"/>
                <w:szCs w:val="18"/>
              </w:rPr>
              <w:t>ciiu4_actividad_principal</w:t>
            </w:r>
          </w:p>
        </w:tc>
        <w:tc>
          <w:tcPr>
            <w:tcW w:w="2000" w:type="dxa"/>
          </w:tcPr>
          <w:p w14:paraId="6D576B40" w14:textId="28D5D599" w:rsidR="00F86B92" w:rsidRPr="0045578C" w:rsidRDefault="00F86B92" w:rsidP="00F86B92">
            <w:pPr>
              <w:jc w:val="both"/>
              <w:rPr>
                <w:rFonts w:ascii="Arial Narrow" w:hAnsi="Arial Narrow"/>
                <w:sz w:val="21"/>
                <w:szCs w:val="21"/>
              </w:rPr>
            </w:pPr>
            <w:r w:rsidRPr="0045578C">
              <w:rPr>
                <w:rFonts w:ascii="Arial Narrow" w:hAnsi="Arial Narrow"/>
                <w:sz w:val="21"/>
                <w:szCs w:val="21"/>
              </w:rPr>
              <w:t>Código CIIU</w:t>
            </w:r>
            <w:r>
              <w:rPr>
                <w:rFonts w:ascii="Arial Narrow" w:hAnsi="Arial Narrow"/>
                <w:sz w:val="21"/>
                <w:szCs w:val="21"/>
              </w:rPr>
              <w:t>4</w:t>
            </w:r>
            <w:r w:rsidRPr="0045578C">
              <w:rPr>
                <w:rFonts w:ascii="Arial Narrow" w:hAnsi="Arial Narrow"/>
                <w:sz w:val="21"/>
                <w:szCs w:val="21"/>
              </w:rPr>
              <w:t xml:space="preserve"> de la actividad</w:t>
            </w:r>
            <w:r w:rsidR="00D27662">
              <w:rPr>
                <w:rFonts w:ascii="Arial Narrow" w:hAnsi="Arial Narrow"/>
                <w:sz w:val="21"/>
                <w:szCs w:val="21"/>
              </w:rPr>
              <w:t xml:space="preserve"> económica</w:t>
            </w:r>
            <w:r w:rsidRPr="0045578C">
              <w:rPr>
                <w:rFonts w:ascii="Arial Narrow" w:hAnsi="Arial Narrow"/>
                <w:sz w:val="21"/>
                <w:szCs w:val="21"/>
              </w:rPr>
              <w:t xml:space="preserve"> </w:t>
            </w:r>
            <w:r w:rsidR="00D27662">
              <w:rPr>
                <w:rFonts w:ascii="Arial Narrow" w:hAnsi="Arial Narrow"/>
                <w:sz w:val="21"/>
                <w:szCs w:val="21"/>
              </w:rPr>
              <w:t>primaria</w:t>
            </w:r>
            <w:r w:rsidRPr="0045578C">
              <w:rPr>
                <w:rFonts w:ascii="Arial Narrow" w:hAnsi="Arial Narrow"/>
                <w:sz w:val="21"/>
                <w:szCs w:val="21"/>
              </w:rPr>
              <w:t xml:space="preserve"> a 7 dígitos</w:t>
            </w:r>
          </w:p>
        </w:tc>
      </w:tr>
      <w:tr w:rsidR="00F86B92" w14:paraId="7ABAD7A0" w14:textId="77777777" w:rsidTr="00C844C2">
        <w:tc>
          <w:tcPr>
            <w:tcW w:w="1885" w:type="dxa"/>
          </w:tcPr>
          <w:p w14:paraId="3FC01CC2" w14:textId="77777777" w:rsidR="00F86B92" w:rsidRPr="0045578C" w:rsidRDefault="00F86B92" w:rsidP="00F86B92">
            <w:pPr>
              <w:jc w:val="both"/>
              <w:rPr>
                <w:rFonts w:ascii="Arial Narrow" w:eastAsia="Times New Roman" w:hAnsi="Arial Narrow" w:cs="Open Sans"/>
                <w:sz w:val="20"/>
                <w:szCs w:val="18"/>
                <w:lang w:eastAsia="es-ES_tradnl"/>
              </w:rPr>
            </w:pPr>
            <w:r w:rsidRPr="0045578C">
              <w:rPr>
                <w:rFonts w:ascii="Arial Narrow" w:hAnsi="Arial Narrow"/>
                <w:sz w:val="20"/>
                <w:szCs w:val="18"/>
              </w:rPr>
              <w:t>cod_letra</w:t>
            </w:r>
          </w:p>
        </w:tc>
        <w:tc>
          <w:tcPr>
            <w:tcW w:w="2000" w:type="dxa"/>
          </w:tcPr>
          <w:p w14:paraId="481C24C1" w14:textId="79693566" w:rsidR="00F86B92" w:rsidRPr="0045578C" w:rsidRDefault="00F86B92" w:rsidP="00F86B92">
            <w:pPr>
              <w:jc w:val="both"/>
              <w:rPr>
                <w:rFonts w:ascii="Arial Narrow" w:eastAsia="Times New Roman" w:hAnsi="Arial Narrow" w:cs="Open Sans"/>
                <w:sz w:val="21"/>
                <w:szCs w:val="21"/>
                <w:lang w:eastAsia="es-ES_tradnl"/>
              </w:rPr>
            </w:pPr>
            <w:r>
              <w:rPr>
                <w:rFonts w:ascii="Arial Narrow" w:hAnsi="Arial Narrow"/>
                <w:sz w:val="21"/>
                <w:szCs w:val="21"/>
              </w:rPr>
              <w:t>Código CIIU4 de la a</w:t>
            </w:r>
            <w:r w:rsidRPr="0045578C">
              <w:rPr>
                <w:rFonts w:ascii="Arial Narrow" w:hAnsi="Arial Narrow"/>
                <w:sz w:val="21"/>
                <w:szCs w:val="21"/>
              </w:rPr>
              <w:t xml:space="preserve">ctividad </w:t>
            </w:r>
            <w:r>
              <w:rPr>
                <w:rFonts w:ascii="Arial Narrow" w:hAnsi="Arial Narrow"/>
                <w:sz w:val="21"/>
                <w:szCs w:val="21"/>
              </w:rPr>
              <w:t>e</w:t>
            </w:r>
            <w:r w:rsidRPr="0045578C">
              <w:rPr>
                <w:rFonts w:ascii="Arial Narrow" w:hAnsi="Arial Narrow"/>
                <w:sz w:val="21"/>
                <w:szCs w:val="21"/>
              </w:rPr>
              <w:t>conómica</w:t>
            </w:r>
            <w:r w:rsidR="00DB24AF">
              <w:rPr>
                <w:rFonts w:ascii="Arial Narrow" w:hAnsi="Arial Narrow"/>
                <w:sz w:val="21"/>
                <w:szCs w:val="21"/>
              </w:rPr>
              <w:t xml:space="preserve"> principal</w:t>
            </w:r>
            <w:r w:rsidRPr="0045578C">
              <w:rPr>
                <w:rFonts w:ascii="Arial Narrow" w:hAnsi="Arial Narrow"/>
                <w:sz w:val="21"/>
                <w:szCs w:val="21"/>
              </w:rPr>
              <w:t xml:space="preserve"> </w:t>
            </w:r>
            <w:r>
              <w:rPr>
                <w:rFonts w:ascii="Arial Narrow" w:hAnsi="Arial Narrow"/>
                <w:sz w:val="21"/>
                <w:szCs w:val="21"/>
              </w:rPr>
              <w:t>2020</w:t>
            </w:r>
          </w:p>
        </w:tc>
      </w:tr>
      <w:tr w:rsidR="00F86B92" w14:paraId="63FB4706" w14:textId="77777777" w:rsidTr="00C844C2">
        <w:tc>
          <w:tcPr>
            <w:tcW w:w="1885" w:type="dxa"/>
          </w:tcPr>
          <w:p w14:paraId="6CEF1B52" w14:textId="3F4D874E" w:rsidR="00F86B92" w:rsidRPr="0045578C" w:rsidRDefault="00D27662" w:rsidP="00F86B92">
            <w:pPr>
              <w:jc w:val="both"/>
              <w:rPr>
                <w:rFonts w:ascii="Arial Narrow" w:eastAsia="Times New Roman" w:hAnsi="Arial Narrow" w:cs="Open Sans"/>
                <w:sz w:val="20"/>
                <w:szCs w:val="18"/>
                <w:lang w:eastAsia="es-ES_tradnl"/>
              </w:rPr>
            </w:pPr>
            <w:r>
              <w:rPr>
                <w:rFonts w:ascii="Arial Narrow" w:hAnsi="Arial Narrow"/>
                <w:sz w:val="20"/>
                <w:szCs w:val="18"/>
              </w:rPr>
              <w:t>desc_</w:t>
            </w:r>
            <w:r w:rsidR="00F86B92" w:rsidRPr="0045578C">
              <w:rPr>
                <w:rFonts w:ascii="Arial Narrow" w:hAnsi="Arial Narrow"/>
                <w:sz w:val="20"/>
                <w:szCs w:val="18"/>
              </w:rPr>
              <w:t>actividad_principal</w:t>
            </w:r>
          </w:p>
        </w:tc>
        <w:tc>
          <w:tcPr>
            <w:tcW w:w="2000" w:type="dxa"/>
          </w:tcPr>
          <w:p w14:paraId="2BF7FEEB" w14:textId="3477D2E6" w:rsidR="00F86B92" w:rsidRPr="0045578C" w:rsidRDefault="00D27662" w:rsidP="00F86B92">
            <w:pPr>
              <w:jc w:val="both"/>
              <w:rPr>
                <w:rFonts w:ascii="Arial Narrow" w:eastAsia="Times New Roman" w:hAnsi="Arial Narrow" w:cs="Open Sans"/>
                <w:sz w:val="21"/>
                <w:szCs w:val="21"/>
                <w:lang w:eastAsia="es-ES_tradnl"/>
              </w:rPr>
            </w:pPr>
            <w:r>
              <w:rPr>
                <w:rFonts w:ascii="Arial Narrow" w:hAnsi="Arial Narrow"/>
                <w:sz w:val="21"/>
                <w:szCs w:val="21"/>
              </w:rPr>
              <w:t xml:space="preserve">Descripción de la </w:t>
            </w:r>
            <w:r w:rsidR="00F86B92" w:rsidRPr="0045578C">
              <w:rPr>
                <w:rFonts w:ascii="Arial Narrow" w:hAnsi="Arial Narrow"/>
                <w:sz w:val="21"/>
                <w:szCs w:val="21"/>
              </w:rPr>
              <w:t>Actividad Principal</w:t>
            </w:r>
          </w:p>
        </w:tc>
      </w:tr>
      <w:tr w:rsidR="0058656C" w14:paraId="1A3B25C6" w14:textId="77777777" w:rsidTr="00C844C2">
        <w:tc>
          <w:tcPr>
            <w:tcW w:w="1885" w:type="dxa"/>
          </w:tcPr>
          <w:p w14:paraId="25F9EB74" w14:textId="070DCA25" w:rsidR="0058656C" w:rsidRPr="0045578C" w:rsidRDefault="0058656C" w:rsidP="00F86B92">
            <w:pPr>
              <w:jc w:val="both"/>
              <w:rPr>
                <w:rFonts w:ascii="Arial Narrow" w:hAnsi="Arial Narrow"/>
                <w:sz w:val="20"/>
                <w:szCs w:val="18"/>
              </w:rPr>
            </w:pPr>
            <w:r>
              <w:rPr>
                <w:rFonts w:ascii="Arial Narrow" w:hAnsi="Arial Narrow"/>
                <w:sz w:val="20"/>
                <w:szCs w:val="18"/>
              </w:rPr>
              <w:t>cod_sector</w:t>
            </w:r>
          </w:p>
        </w:tc>
        <w:tc>
          <w:tcPr>
            <w:tcW w:w="2000" w:type="dxa"/>
          </w:tcPr>
          <w:p w14:paraId="7FCA9821" w14:textId="1F6AB3D4" w:rsidR="0058656C" w:rsidRPr="0045578C" w:rsidRDefault="0058656C" w:rsidP="00F86B92">
            <w:pPr>
              <w:jc w:val="both"/>
              <w:rPr>
                <w:rFonts w:ascii="Arial Narrow" w:hAnsi="Arial Narrow"/>
                <w:sz w:val="21"/>
                <w:szCs w:val="21"/>
              </w:rPr>
            </w:pPr>
            <w:r>
              <w:rPr>
                <w:rFonts w:ascii="Arial Narrow" w:hAnsi="Arial Narrow"/>
                <w:sz w:val="21"/>
                <w:szCs w:val="21"/>
              </w:rPr>
              <w:t xml:space="preserve">Categoría del sector económico de la </w:t>
            </w:r>
            <w:r w:rsidR="0082628D">
              <w:rPr>
                <w:rFonts w:ascii="Arial Narrow" w:hAnsi="Arial Narrow"/>
                <w:sz w:val="21"/>
                <w:szCs w:val="21"/>
              </w:rPr>
              <w:t xml:space="preserve">actividad principal de la </w:t>
            </w:r>
            <w:r>
              <w:rPr>
                <w:rFonts w:ascii="Arial Narrow" w:hAnsi="Arial Narrow"/>
                <w:sz w:val="21"/>
                <w:szCs w:val="21"/>
              </w:rPr>
              <w:t>empresa</w:t>
            </w:r>
          </w:p>
        </w:tc>
      </w:tr>
      <w:tr w:rsidR="0058656C" w14:paraId="5E694579" w14:textId="77777777" w:rsidTr="00C844C2">
        <w:tc>
          <w:tcPr>
            <w:tcW w:w="1885" w:type="dxa"/>
          </w:tcPr>
          <w:p w14:paraId="6AC9127D" w14:textId="47B3EDDE" w:rsidR="0058656C" w:rsidRPr="0045578C" w:rsidRDefault="0058656C" w:rsidP="0058656C">
            <w:pPr>
              <w:jc w:val="both"/>
              <w:rPr>
                <w:rFonts w:ascii="Arial Narrow" w:hAnsi="Arial Narrow"/>
                <w:sz w:val="20"/>
                <w:szCs w:val="18"/>
              </w:rPr>
            </w:pPr>
            <w:r w:rsidRPr="0045578C">
              <w:rPr>
                <w:rFonts w:ascii="Arial Narrow" w:hAnsi="Arial Narrow"/>
                <w:sz w:val="20"/>
                <w:szCs w:val="18"/>
              </w:rPr>
              <w:t>ciiu4_actividad_</w:t>
            </w:r>
            <w:r>
              <w:rPr>
                <w:rFonts w:ascii="Arial Narrow" w:hAnsi="Arial Narrow"/>
                <w:sz w:val="20"/>
                <w:szCs w:val="18"/>
              </w:rPr>
              <w:t>secundaria</w:t>
            </w:r>
          </w:p>
        </w:tc>
        <w:tc>
          <w:tcPr>
            <w:tcW w:w="2000" w:type="dxa"/>
          </w:tcPr>
          <w:p w14:paraId="3ED72312" w14:textId="34DA958D" w:rsidR="0058656C" w:rsidRPr="0045578C" w:rsidRDefault="0058656C" w:rsidP="0058656C">
            <w:pPr>
              <w:jc w:val="both"/>
              <w:rPr>
                <w:rFonts w:ascii="Arial Narrow" w:hAnsi="Arial Narrow"/>
                <w:sz w:val="21"/>
                <w:szCs w:val="21"/>
              </w:rPr>
            </w:pPr>
            <w:r w:rsidRPr="0045578C">
              <w:rPr>
                <w:rFonts w:ascii="Arial Narrow" w:hAnsi="Arial Narrow"/>
                <w:sz w:val="21"/>
                <w:szCs w:val="21"/>
              </w:rPr>
              <w:t>Código CIIU</w:t>
            </w:r>
            <w:r>
              <w:rPr>
                <w:rFonts w:ascii="Arial Narrow" w:hAnsi="Arial Narrow"/>
                <w:sz w:val="21"/>
                <w:szCs w:val="21"/>
              </w:rPr>
              <w:t>4</w:t>
            </w:r>
            <w:r w:rsidRPr="0045578C">
              <w:rPr>
                <w:rFonts w:ascii="Arial Narrow" w:hAnsi="Arial Narrow"/>
                <w:sz w:val="21"/>
                <w:szCs w:val="21"/>
              </w:rPr>
              <w:t xml:space="preserve"> de la actividad</w:t>
            </w:r>
            <w:r>
              <w:rPr>
                <w:rFonts w:ascii="Arial Narrow" w:hAnsi="Arial Narrow"/>
                <w:sz w:val="21"/>
                <w:szCs w:val="21"/>
              </w:rPr>
              <w:t xml:space="preserve"> económica</w:t>
            </w:r>
            <w:r w:rsidRPr="0045578C">
              <w:rPr>
                <w:rFonts w:ascii="Arial Narrow" w:hAnsi="Arial Narrow"/>
                <w:sz w:val="21"/>
                <w:szCs w:val="21"/>
              </w:rPr>
              <w:t xml:space="preserve"> </w:t>
            </w:r>
            <w:r>
              <w:rPr>
                <w:rFonts w:ascii="Arial Narrow" w:hAnsi="Arial Narrow"/>
                <w:sz w:val="21"/>
                <w:szCs w:val="21"/>
              </w:rPr>
              <w:t>secundaria</w:t>
            </w:r>
            <w:r w:rsidRPr="0045578C">
              <w:rPr>
                <w:rFonts w:ascii="Arial Narrow" w:hAnsi="Arial Narrow"/>
                <w:sz w:val="21"/>
                <w:szCs w:val="21"/>
              </w:rPr>
              <w:t xml:space="preserve"> a 7 dígitos</w:t>
            </w:r>
          </w:p>
        </w:tc>
      </w:tr>
      <w:tr w:rsidR="00DB24AF" w14:paraId="2A853139" w14:textId="77777777" w:rsidTr="00C844C2">
        <w:tc>
          <w:tcPr>
            <w:tcW w:w="1885" w:type="dxa"/>
          </w:tcPr>
          <w:p w14:paraId="017BBAF8" w14:textId="67238818" w:rsidR="00DB24AF" w:rsidRPr="0045578C" w:rsidRDefault="00DB24AF" w:rsidP="00DB24AF">
            <w:pPr>
              <w:jc w:val="both"/>
              <w:rPr>
                <w:rFonts w:ascii="Arial Narrow" w:hAnsi="Arial Narrow"/>
                <w:sz w:val="20"/>
                <w:szCs w:val="18"/>
              </w:rPr>
            </w:pPr>
            <w:r w:rsidRPr="0045578C">
              <w:rPr>
                <w:rFonts w:ascii="Arial Narrow" w:hAnsi="Arial Narrow"/>
                <w:sz w:val="20"/>
                <w:szCs w:val="18"/>
              </w:rPr>
              <w:t>cod_letra</w:t>
            </w:r>
            <w:r>
              <w:rPr>
                <w:rFonts w:ascii="Arial Narrow" w:hAnsi="Arial Narrow"/>
                <w:sz w:val="20"/>
                <w:szCs w:val="18"/>
              </w:rPr>
              <w:t>_2da</w:t>
            </w:r>
          </w:p>
        </w:tc>
        <w:tc>
          <w:tcPr>
            <w:tcW w:w="2000" w:type="dxa"/>
          </w:tcPr>
          <w:p w14:paraId="02C068E8" w14:textId="1494E0B9" w:rsidR="00DB24AF" w:rsidRPr="0045578C" w:rsidRDefault="00DB24AF" w:rsidP="00DB24AF">
            <w:pPr>
              <w:jc w:val="both"/>
              <w:rPr>
                <w:rFonts w:ascii="Arial Narrow" w:hAnsi="Arial Narrow"/>
                <w:sz w:val="21"/>
                <w:szCs w:val="21"/>
              </w:rPr>
            </w:pPr>
            <w:r>
              <w:rPr>
                <w:rFonts w:ascii="Arial Narrow" w:hAnsi="Arial Narrow"/>
                <w:sz w:val="21"/>
                <w:szCs w:val="21"/>
              </w:rPr>
              <w:t>Código CIIU4 de la a</w:t>
            </w:r>
            <w:r w:rsidRPr="0045578C">
              <w:rPr>
                <w:rFonts w:ascii="Arial Narrow" w:hAnsi="Arial Narrow"/>
                <w:sz w:val="21"/>
                <w:szCs w:val="21"/>
              </w:rPr>
              <w:t xml:space="preserve">ctividad </w:t>
            </w:r>
            <w:r>
              <w:rPr>
                <w:rFonts w:ascii="Arial Narrow" w:hAnsi="Arial Narrow"/>
                <w:sz w:val="21"/>
                <w:szCs w:val="21"/>
              </w:rPr>
              <w:t>e</w:t>
            </w:r>
            <w:r w:rsidRPr="0045578C">
              <w:rPr>
                <w:rFonts w:ascii="Arial Narrow" w:hAnsi="Arial Narrow"/>
                <w:sz w:val="21"/>
                <w:szCs w:val="21"/>
              </w:rPr>
              <w:t xml:space="preserve">conómica </w:t>
            </w:r>
            <w:r>
              <w:rPr>
                <w:rFonts w:ascii="Arial Narrow" w:hAnsi="Arial Narrow"/>
                <w:sz w:val="21"/>
                <w:szCs w:val="21"/>
              </w:rPr>
              <w:t>secundaria 2020</w:t>
            </w:r>
          </w:p>
        </w:tc>
      </w:tr>
      <w:tr w:rsidR="00175756" w14:paraId="475673DB" w14:textId="77777777" w:rsidTr="00C844C2">
        <w:tc>
          <w:tcPr>
            <w:tcW w:w="1885" w:type="dxa"/>
          </w:tcPr>
          <w:p w14:paraId="39E0A039" w14:textId="572980D6" w:rsidR="00175756" w:rsidRPr="0045578C" w:rsidRDefault="00175756" w:rsidP="00175756">
            <w:pPr>
              <w:jc w:val="both"/>
              <w:rPr>
                <w:rFonts w:ascii="Arial Narrow" w:eastAsia="Times New Roman" w:hAnsi="Arial Narrow" w:cs="Open Sans"/>
                <w:sz w:val="20"/>
                <w:szCs w:val="18"/>
                <w:lang w:eastAsia="es-ES_tradnl"/>
              </w:rPr>
            </w:pPr>
            <w:r>
              <w:rPr>
                <w:rFonts w:ascii="Arial Narrow" w:hAnsi="Arial Narrow"/>
                <w:sz w:val="20"/>
                <w:szCs w:val="18"/>
              </w:rPr>
              <w:t>desc_</w:t>
            </w:r>
            <w:r w:rsidRPr="0045578C">
              <w:rPr>
                <w:rFonts w:ascii="Arial Narrow" w:hAnsi="Arial Narrow"/>
                <w:sz w:val="20"/>
                <w:szCs w:val="18"/>
              </w:rPr>
              <w:t>actividad_</w:t>
            </w:r>
            <w:r>
              <w:rPr>
                <w:rFonts w:ascii="Arial Narrow" w:hAnsi="Arial Narrow"/>
                <w:sz w:val="20"/>
                <w:szCs w:val="18"/>
              </w:rPr>
              <w:t>secundaria</w:t>
            </w:r>
          </w:p>
        </w:tc>
        <w:tc>
          <w:tcPr>
            <w:tcW w:w="2000" w:type="dxa"/>
          </w:tcPr>
          <w:p w14:paraId="796F8BE3" w14:textId="6C44AA8D" w:rsidR="00175756" w:rsidRPr="0045578C" w:rsidRDefault="00175756" w:rsidP="00175756">
            <w:pPr>
              <w:jc w:val="both"/>
              <w:rPr>
                <w:rFonts w:ascii="Arial Narrow" w:eastAsia="Times New Roman" w:hAnsi="Arial Narrow" w:cs="Open Sans"/>
                <w:sz w:val="21"/>
                <w:szCs w:val="21"/>
                <w:lang w:eastAsia="es-ES_tradnl"/>
              </w:rPr>
            </w:pPr>
            <w:r>
              <w:rPr>
                <w:rFonts w:ascii="Arial Narrow" w:hAnsi="Arial Narrow"/>
                <w:sz w:val="21"/>
                <w:szCs w:val="21"/>
              </w:rPr>
              <w:t xml:space="preserve">Descripción de la </w:t>
            </w:r>
            <w:r w:rsidRPr="0045578C">
              <w:rPr>
                <w:rFonts w:ascii="Arial Narrow" w:hAnsi="Arial Narrow"/>
                <w:sz w:val="21"/>
                <w:szCs w:val="21"/>
              </w:rPr>
              <w:t xml:space="preserve">Actividad </w:t>
            </w:r>
            <w:r>
              <w:rPr>
                <w:rFonts w:ascii="Arial Narrow" w:hAnsi="Arial Narrow"/>
                <w:sz w:val="21"/>
                <w:szCs w:val="21"/>
              </w:rPr>
              <w:t>Secundaria</w:t>
            </w:r>
          </w:p>
        </w:tc>
      </w:tr>
      <w:tr w:rsidR="0082628D" w14:paraId="23C64B29" w14:textId="77777777" w:rsidTr="00C844C2">
        <w:tc>
          <w:tcPr>
            <w:tcW w:w="1885" w:type="dxa"/>
          </w:tcPr>
          <w:p w14:paraId="5AA78414" w14:textId="2FA1661A" w:rsidR="0082628D" w:rsidRPr="0045578C" w:rsidRDefault="0082628D" w:rsidP="0082628D">
            <w:pPr>
              <w:jc w:val="both"/>
              <w:rPr>
                <w:rFonts w:ascii="Arial Narrow" w:eastAsia="Times New Roman" w:hAnsi="Arial Narrow" w:cs="Open Sans"/>
                <w:sz w:val="20"/>
                <w:szCs w:val="18"/>
                <w:lang w:eastAsia="es-ES_tradnl"/>
              </w:rPr>
            </w:pPr>
            <w:r>
              <w:rPr>
                <w:rFonts w:ascii="Arial Narrow" w:hAnsi="Arial Narrow"/>
                <w:sz w:val="20"/>
                <w:szCs w:val="18"/>
              </w:rPr>
              <w:t>cod_sector2</w:t>
            </w:r>
          </w:p>
        </w:tc>
        <w:tc>
          <w:tcPr>
            <w:tcW w:w="2000" w:type="dxa"/>
          </w:tcPr>
          <w:p w14:paraId="6782E634" w14:textId="0F622BBF" w:rsidR="0082628D" w:rsidRPr="0045578C" w:rsidRDefault="0082628D" w:rsidP="0082628D">
            <w:pPr>
              <w:jc w:val="both"/>
              <w:rPr>
                <w:rFonts w:ascii="Arial Narrow" w:eastAsia="Times New Roman" w:hAnsi="Arial Narrow" w:cs="Open Sans"/>
                <w:sz w:val="21"/>
                <w:szCs w:val="21"/>
                <w:lang w:eastAsia="es-ES_tradnl"/>
              </w:rPr>
            </w:pPr>
            <w:r>
              <w:rPr>
                <w:rFonts w:ascii="Arial Narrow" w:hAnsi="Arial Narrow"/>
                <w:sz w:val="21"/>
                <w:szCs w:val="21"/>
              </w:rPr>
              <w:t>Categoría del sector económico de la actividad secundaria de la empresa</w:t>
            </w:r>
          </w:p>
        </w:tc>
      </w:tr>
    </w:tbl>
    <w:p w14:paraId="413F38A9" w14:textId="77777777" w:rsidR="00964965" w:rsidRPr="00646F55" w:rsidRDefault="00964965" w:rsidP="00964965">
      <w:pPr>
        <w:jc w:val="both"/>
        <w:rPr>
          <w:rFonts w:ascii="Century Gothic" w:hAnsi="Century Gothic" w:cs="Calibri"/>
          <w:b/>
          <w:color w:val="404040" w:themeColor="text1" w:themeTint="BF"/>
          <w:sz w:val="14"/>
          <w:szCs w:val="14"/>
        </w:rPr>
      </w:pPr>
    </w:p>
    <w:p w14:paraId="316D73A0" w14:textId="113E29D3" w:rsidR="00964965" w:rsidRDefault="00964965" w:rsidP="00964965">
      <w:pPr>
        <w:jc w:val="both"/>
        <w:rPr>
          <w:rFonts w:ascii="Century Gothic" w:hAnsi="Century Gothic" w:cs="Calibri"/>
          <w:sz w:val="14"/>
          <w:szCs w:val="14"/>
        </w:rPr>
      </w:pPr>
      <w:r w:rsidRPr="00646F55">
        <w:rPr>
          <w:rFonts w:ascii="Century Gothic" w:hAnsi="Century Gothic" w:cs="Calibri"/>
          <w:b/>
          <w:sz w:val="14"/>
          <w:szCs w:val="14"/>
        </w:rPr>
        <w:t>Fuente:</w:t>
      </w:r>
      <w:r w:rsidRPr="00646F55">
        <w:rPr>
          <w:rFonts w:ascii="Century Gothic" w:hAnsi="Century Gothic" w:cs="Calibri"/>
          <w:sz w:val="14"/>
          <w:szCs w:val="14"/>
        </w:rPr>
        <w:t xml:space="preserve"> Módulo Ambiental ENESEM </w:t>
      </w:r>
      <w:r w:rsidR="00D330B6">
        <w:rPr>
          <w:rFonts w:ascii="Century Gothic" w:hAnsi="Century Gothic" w:cs="Calibri"/>
          <w:sz w:val="14"/>
          <w:szCs w:val="14"/>
        </w:rPr>
        <w:t>2020</w:t>
      </w:r>
      <w:r w:rsidRPr="00646F55">
        <w:rPr>
          <w:rFonts w:ascii="Century Gothic" w:hAnsi="Century Gothic" w:cs="Calibri"/>
          <w:sz w:val="14"/>
          <w:szCs w:val="14"/>
        </w:rPr>
        <w:t>.</w:t>
      </w:r>
    </w:p>
    <w:p w14:paraId="595040AD" w14:textId="3CE16C62"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lastRenderedPageBreak/>
        <w:t xml:space="preserve">El uso contemplado para estas variables es de ordenar la BDD, típicamente en forma ascendente, por el identificador de empresa, el cual es una clave primaria única de identificación de cada empresa en la BDD. Las variables </w:t>
      </w:r>
      <w:r w:rsidRPr="0045578C">
        <w:rPr>
          <w:rFonts w:ascii="Arial Narrow" w:hAnsi="Arial Narrow"/>
          <w:sz w:val="20"/>
          <w:szCs w:val="18"/>
        </w:rPr>
        <w:t>cod_tamano</w:t>
      </w:r>
      <w:r>
        <w:rPr>
          <w:rFonts w:ascii="Century Gothic" w:eastAsia="Times New Roman" w:hAnsi="Century Gothic" w:cs="Open Sans"/>
          <w:sz w:val="21"/>
          <w:szCs w:val="21"/>
          <w:lang w:eastAsia="es-ES_tradnl"/>
        </w:rPr>
        <w:t xml:space="preserve"> y </w:t>
      </w:r>
      <w:r w:rsidRPr="0045578C">
        <w:rPr>
          <w:rFonts w:ascii="Arial Narrow" w:hAnsi="Arial Narrow"/>
          <w:sz w:val="20"/>
          <w:szCs w:val="18"/>
        </w:rPr>
        <w:t>cod_letra</w:t>
      </w:r>
      <w:r>
        <w:rPr>
          <w:rFonts w:ascii="Century Gothic" w:eastAsia="Times New Roman" w:hAnsi="Century Gothic" w:cs="Open Sans"/>
          <w:sz w:val="21"/>
          <w:szCs w:val="21"/>
          <w:lang w:eastAsia="es-ES_tradnl"/>
        </w:rPr>
        <w:t xml:space="preserve">, las cuales pueden ser consideradas también como variables de diseño muestral, sirven para desagregar estimadores poblacionales de todo tipo obtenidos por agregación o filtración de las variables de investigación. Las demás variables identificadoras, excepto </w:t>
      </w:r>
      <w:r w:rsidRPr="0045578C">
        <w:rPr>
          <w:rFonts w:ascii="Arial Narrow" w:hAnsi="Arial Narrow"/>
          <w:sz w:val="20"/>
          <w:szCs w:val="18"/>
        </w:rPr>
        <w:t>provincia</w:t>
      </w:r>
      <w:r>
        <w:rPr>
          <w:rFonts w:ascii="Century Gothic" w:eastAsia="Times New Roman" w:hAnsi="Century Gothic" w:cs="Open Sans"/>
          <w:sz w:val="21"/>
          <w:szCs w:val="21"/>
          <w:lang w:eastAsia="es-ES_tradnl"/>
        </w:rPr>
        <w:t>, sirven para identificar las actividades económicas primaria y secundaria de cada empresa investigada.</w:t>
      </w:r>
    </w:p>
    <w:p w14:paraId="76CE161E" w14:textId="77777777" w:rsidR="00964965" w:rsidRDefault="00964965" w:rsidP="00964965">
      <w:pPr>
        <w:jc w:val="both"/>
        <w:rPr>
          <w:rFonts w:ascii="Century Gothic" w:eastAsia="Times New Roman" w:hAnsi="Century Gothic" w:cs="Open Sans"/>
          <w:sz w:val="21"/>
          <w:szCs w:val="21"/>
          <w:lang w:eastAsia="es-ES_tradnl"/>
        </w:rPr>
      </w:pPr>
    </w:p>
    <w:p w14:paraId="5B3384F8" w14:textId="12036ED4" w:rsidR="00964965" w:rsidRPr="00876EA1" w:rsidRDefault="00964965" w:rsidP="00964965">
      <w:pPr>
        <w:pStyle w:val="Descripcin"/>
        <w:keepNext/>
        <w:jc w:val="both"/>
        <w:rPr>
          <w:i w:val="0"/>
        </w:rPr>
      </w:pPr>
      <w:bookmarkStart w:id="8" w:name="_Toc101364156"/>
      <w:r w:rsidRPr="00876EA1">
        <w:rPr>
          <w:b/>
          <w:bCs/>
          <w:i w:val="0"/>
          <w:color w:val="auto"/>
          <w:sz w:val="16"/>
        </w:rPr>
        <w:t xml:space="preserve">Tabla </w:t>
      </w:r>
      <w:r w:rsidRPr="00876EA1">
        <w:rPr>
          <w:b/>
          <w:bCs/>
          <w:i w:val="0"/>
          <w:color w:val="auto"/>
          <w:sz w:val="16"/>
        </w:rPr>
        <w:fldChar w:fldCharType="begin"/>
      </w:r>
      <w:r w:rsidRPr="00876EA1">
        <w:rPr>
          <w:b/>
          <w:bCs/>
          <w:i w:val="0"/>
          <w:color w:val="auto"/>
          <w:sz w:val="16"/>
        </w:rPr>
        <w:instrText xml:space="preserve"> SEQ Tabla \* ARABIC </w:instrText>
      </w:r>
      <w:r w:rsidRPr="00876EA1">
        <w:rPr>
          <w:b/>
          <w:bCs/>
          <w:i w:val="0"/>
          <w:color w:val="auto"/>
          <w:sz w:val="16"/>
        </w:rPr>
        <w:fldChar w:fldCharType="separate"/>
      </w:r>
      <w:r>
        <w:rPr>
          <w:b/>
          <w:bCs/>
          <w:i w:val="0"/>
          <w:noProof/>
          <w:color w:val="auto"/>
          <w:sz w:val="16"/>
        </w:rPr>
        <w:t>2</w:t>
      </w:r>
      <w:r w:rsidRPr="00876EA1">
        <w:rPr>
          <w:b/>
          <w:bCs/>
          <w:i w:val="0"/>
          <w:color w:val="auto"/>
          <w:sz w:val="16"/>
        </w:rPr>
        <w:fldChar w:fldCharType="end"/>
      </w:r>
      <w:r w:rsidRPr="00876EA1">
        <w:rPr>
          <w:b/>
          <w:bCs/>
          <w:i w:val="0"/>
          <w:color w:val="auto"/>
          <w:sz w:val="16"/>
        </w:rPr>
        <w:t>.</w:t>
      </w:r>
      <w:r>
        <w:t xml:space="preserve"> </w:t>
      </w:r>
      <w:r>
        <w:rPr>
          <w:rFonts w:cstheme="minorHAnsi"/>
          <w:i w:val="0"/>
          <w:color w:val="auto"/>
          <w:sz w:val="16"/>
        </w:rPr>
        <w:t xml:space="preserve">Lista de variables de diseño de la BDD del MA de la ENESEM </w:t>
      </w:r>
      <w:r w:rsidR="00D330B6">
        <w:rPr>
          <w:rFonts w:cstheme="minorHAnsi"/>
          <w:i w:val="0"/>
          <w:color w:val="auto"/>
          <w:sz w:val="16"/>
        </w:rPr>
        <w:t>2020</w:t>
      </w:r>
      <w:r w:rsidRPr="00646F55">
        <w:rPr>
          <w:rFonts w:cstheme="minorHAnsi"/>
          <w:i w:val="0"/>
          <w:color w:val="auto"/>
          <w:sz w:val="16"/>
        </w:rPr>
        <w:t>.</w:t>
      </w:r>
      <w:bookmarkEnd w:id="8"/>
    </w:p>
    <w:tbl>
      <w:tblPr>
        <w:tblStyle w:val="Tablaconcuadrcula"/>
        <w:tblW w:w="0" w:type="auto"/>
        <w:tblLayout w:type="fixed"/>
        <w:tblLook w:val="04A0" w:firstRow="1" w:lastRow="0" w:firstColumn="1" w:lastColumn="0" w:noHBand="0" w:noVBand="1"/>
      </w:tblPr>
      <w:tblGrid>
        <w:gridCol w:w="1255"/>
        <w:gridCol w:w="2630"/>
      </w:tblGrid>
      <w:tr w:rsidR="00964965" w14:paraId="06A5E267" w14:textId="77777777" w:rsidTr="00C844C2">
        <w:tc>
          <w:tcPr>
            <w:tcW w:w="1255" w:type="dxa"/>
            <w:shd w:val="clear" w:color="auto" w:fill="D9E2F3" w:themeFill="accent1" w:themeFillTint="33"/>
            <w:vAlign w:val="center"/>
          </w:tcPr>
          <w:p w14:paraId="6280F289" w14:textId="77777777" w:rsidR="00964965" w:rsidRPr="001C2588" w:rsidRDefault="00964965" w:rsidP="00C844C2">
            <w:pPr>
              <w:jc w:val="both"/>
              <w:rPr>
                <w:rFonts w:ascii="Century Gothic" w:eastAsia="Times New Roman" w:hAnsi="Century Gothic" w:cs="Open Sans"/>
                <w:b/>
                <w:sz w:val="18"/>
                <w:szCs w:val="21"/>
                <w:lang w:eastAsia="es-ES_tradnl"/>
              </w:rPr>
            </w:pPr>
            <w:r w:rsidRPr="001C2588">
              <w:rPr>
                <w:rFonts w:ascii="Century Gothic" w:eastAsia="Times New Roman" w:hAnsi="Century Gothic" w:cs="Open Sans"/>
                <w:b/>
                <w:sz w:val="18"/>
                <w:szCs w:val="21"/>
                <w:lang w:eastAsia="es-ES_tradnl"/>
              </w:rPr>
              <w:t>Nombre de</w:t>
            </w:r>
            <w:r>
              <w:rPr>
                <w:rFonts w:ascii="Century Gothic" w:eastAsia="Times New Roman" w:hAnsi="Century Gothic" w:cs="Open Sans"/>
                <w:b/>
                <w:sz w:val="18"/>
                <w:szCs w:val="21"/>
                <w:lang w:eastAsia="es-ES_tradnl"/>
              </w:rPr>
              <w:t xml:space="preserve"> la</w:t>
            </w:r>
            <w:r w:rsidRPr="001C2588">
              <w:rPr>
                <w:rFonts w:ascii="Century Gothic" w:eastAsia="Times New Roman" w:hAnsi="Century Gothic" w:cs="Open Sans"/>
                <w:b/>
                <w:sz w:val="18"/>
                <w:szCs w:val="21"/>
                <w:lang w:eastAsia="es-ES_tradnl"/>
              </w:rPr>
              <w:t xml:space="preserve"> variable</w:t>
            </w:r>
          </w:p>
        </w:tc>
        <w:tc>
          <w:tcPr>
            <w:tcW w:w="2630" w:type="dxa"/>
            <w:shd w:val="clear" w:color="auto" w:fill="D9E2F3" w:themeFill="accent1" w:themeFillTint="33"/>
            <w:vAlign w:val="center"/>
          </w:tcPr>
          <w:p w14:paraId="07E566D0" w14:textId="77777777" w:rsidR="00964965" w:rsidRPr="001C2588" w:rsidRDefault="00964965" w:rsidP="00C844C2">
            <w:pPr>
              <w:jc w:val="both"/>
              <w:rPr>
                <w:rFonts w:ascii="Century Gothic" w:eastAsia="Times New Roman" w:hAnsi="Century Gothic" w:cs="Open Sans"/>
                <w:b/>
                <w:sz w:val="18"/>
                <w:szCs w:val="21"/>
                <w:lang w:eastAsia="es-ES_tradnl"/>
              </w:rPr>
            </w:pPr>
            <w:r w:rsidRPr="001C2588">
              <w:rPr>
                <w:rFonts w:ascii="Century Gothic" w:eastAsia="Times New Roman" w:hAnsi="Century Gothic" w:cs="Open Sans"/>
                <w:b/>
                <w:sz w:val="18"/>
                <w:szCs w:val="21"/>
                <w:lang w:eastAsia="es-ES_tradnl"/>
              </w:rPr>
              <w:t>Descripción</w:t>
            </w:r>
          </w:p>
        </w:tc>
      </w:tr>
      <w:tr w:rsidR="00964965" w14:paraId="1B843001" w14:textId="77777777" w:rsidTr="00C844C2">
        <w:tc>
          <w:tcPr>
            <w:tcW w:w="1255" w:type="dxa"/>
          </w:tcPr>
          <w:p w14:paraId="24EB3CAC" w14:textId="77777777" w:rsidR="00964965" w:rsidRPr="0045578C" w:rsidRDefault="00964965" w:rsidP="00C844C2">
            <w:pPr>
              <w:jc w:val="both"/>
              <w:rPr>
                <w:rFonts w:ascii="Arial Narrow" w:eastAsia="Times New Roman" w:hAnsi="Arial Narrow" w:cs="Open Sans"/>
                <w:sz w:val="20"/>
                <w:szCs w:val="18"/>
                <w:lang w:eastAsia="es-ES_tradnl"/>
              </w:rPr>
            </w:pPr>
            <w:r>
              <w:rPr>
                <w:rFonts w:ascii="Arial Narrow" w:hAnsi="Arial Narrow"/>
                <w:sz w:val="20"/>
                <w:szCs w:val="18"/>
              </w:rPr>
              <w:t>N_fin</w:t>
            </w:r>
          </w:p>
        </w:tc>
        <w:tc>
          <w:tcPr>
            <w:tcW w:w="2630" w:type="dxa"/>
          </w:tcPr>
          <w:p w14:paraId="6F834F40" w14:textId="77777777" w:rsidR="00964965" w:rsidRPr="0045578C" w:rsidRDefault="00964965" w:rsidP="00C844C2">
            <w:pPr>
              <w:jc w:val="both"/>
              <w:rPr>
                <w:rFonts w:ascii="Arial Narrow" w:eastAsia="Times New Roman" w:hAnsi="Arial Narrow" w:cs="Open Sans"/>
                <w:sz w:val="21"/>
                <w:szCs w:val="21"/>
                <w:lang w:eastAsia="es-ES_tradnl"/>
              </w:rPr>
            </w:pPr>
            <w:r>
              <w:rPr>
                <w:rFonts w:ascii="Arial Narrow" w:hAnsi="Arial Narrow"/>
                <w:sz w:val="21"/>
                <w:szCs w:val="21"/>
              </w:rPr>
              <w:t>Tamaño final del dominio</w:t>
            </w:r>
          </w:p>
        </w:tc>
      </w:tr>
      <w:tr w:rsidR="00964965" w14:paraId="57DB8C12" w14:textId="77777777" w:rsidTr="00C844C2">
        <w:tc>
          <w:tcPr>
            <w:tcW w:w="1255" w:type="dxa"/>
          </w:tcPr>
          <w:p w14:paraId="3932639D" w14:textId="77777777" w:rsidR="00964965" w:rsidRPr="0045578C" w:rsidRDefault="00964965" w:rsidP="00C844C2">
            <w:pPr>
              <w:jc w:val="both"/>
              <w:rPr>
                <w:rFonts w:ascii="Arial Narrow" w:eastAsia="Times New Roman" w:hAnsi="Arial Narrow" w:cs="Open Sans"/>
                <w:sz w:val="20"/>
                <w:szCs w:val="18"/>
                <w:lang w:eastAsia="es-ES_tradnl"/>
              </w:rPr>
            </w:pPr>
            <w:r>
              <w:rPr>
                <w:rFonts w:ascii="Arial Narrow" w:hAnsi="Arial Narrow"/>
                <w:sz w:val="20"/>
                <w:szCs w:val="18"/>
              </w:rPr>
              <w:t>Pst</w:t>
            </w:r>
          </w:p>
        </w:tc>
        <w:tc>
          <w:tcPr>
            <w:tcW w:w="2630" w:type="dxa"/>
          </w:tcPr>
          <w:p w14:paraId="5D24624A" w14:textId="77777777" w:rsidR="00964965" w:rsidRPr="0045578C" w:rsidRDefault="00964965" w:rsidP="00C844C2">
            <w:pPr>
              <w:jc w:val="both"/>
              <w:rPr>
                <w:rFonts w:ascii="Arial Narrow" w:eastAsia="Times New Roman" w:hAnsi="Arial Narrow" w:cs="Open Sans"/>
                <w:sz w:val="21"/>
                <w:szCs w:val="21"/>
                <w:lang w:eastAsia="es-ES_tradnl"/>
              </w:rPr>
            </w:pPr>
            <w:r>
              <w:rPr>
                <w:rFonts w:ascii="Arial Narrow" w:hAnsi="Arial Narrow"/>
                <w:sz w:val="21"/>
                <w:szCs w:val="21"/>
              </w:rPr>
              <w:t>Categorías de remuestreo de elementos de cada dominio</w:t>
            </w:r>
          </w:p>
        </w:tc>
      </w:tr>
      <w:tr w:rsidR="00964965" w14:paraId="4FB01CDD" w14:textId="77777777" w:rsidTr="00C844C2">
        <w:tc>
          <w:tcPr>
            <w:tcW w:w="1255" w:type="dxa"/>
          </w:tcPr>
          <w:p w14:paraId="1C996A8E" w14:textId="7978870A" w:rsidR="00964965" w:rsidRPr="0045578C" w:rsidRDefault="00563CA1" w:rsidP="00C844C2">
            <w:pPr>
              <w:jc w:val="both"/>
              <w:rPr>
                <w:rFonts w:ascii="Arial Narrow" w:eastAsia="Times New Roman" w:hAnsi="Arial Narrow" w:cs="Open Sans"/>
                <w:sz w:val="20"/>
                <w:szCs w:val="18"/>
                <w:lang w:eastAsia="es-ES_tradnl"/>
              </w:rPr>
            </w:pPr>
            <w:r>
              <w:rPr>
                <w:rFonts w:ascii="Arial Narrow" w:hAnsi="Arial Narrow"/>
                <w:sz w:val="20"/>
                <w:szCs w:val="18"/>
              </w:rPr>
              <w:t>f_</w:t>
            </w:r>
            <w:r w:rsidR="00964965">
              <w:rPr>
                <w:rFonts w:ascii="Arial Narrow" w:hAnsi="Arial Narrow"/>
                <w:sz w:val="20"/>
                <w:szCs w:val="18"/>
              </w:rPr>
              <w:t>exp</w:t>
            </w:r>
          </w:p>
        </w:tc>
        <w:tc>
          <w:tcPr>
            <w:tcW w:w="2630" w:type="dxa"/>
          </w:tcPr>
          <w:p w14:paraId="44997F29" w14:textId="37281DB6" w:rsidR="00964965" w:rsidRPr="0045578C" w:rsidRDefault="00964965" w:rsidP="00C844C2">
            <w:pPr>
              <w:jc w:val="both"/>
              <w:rPr>
                <w:rFonts w:ascii="Arial Narrow" w:eastAsia="Times New Roman" w:hAnsi="Arial Narrow" w:cs="Open Sans"/>
                <w:sz w:val="21"/>
                <w:szCs w:val="21"/>
                <w:lang w:eastAsia="es-ES_tradnl"/>
              </w:rPr>
            </w:pPr>
            <w:r>
              <w:rPr>
                <w:rFonts w:ascii="Arial Narrow" w:hAnsi="Arial Narrow"/>
                <w:sz w:val="21"/>
                <w:szCs w:val="21"/>
              </w:rPr>
              <w:t xml:space="preserve">Factor </w:t>
            </w:r>
            <w:r w:rsidR="00D66FF2">
              <w:rPr>
                <w:rFonts w:ascii="Arial Narrow" w:hAnsi="Arial Narrow"/>
                <w:sz w:val="21"/>
                <w:szCs w:val="21"/>
              </w:rPr>
              <w:t xml:space="preserve">final </w:t>
            </w:r>
            <w:r>
              <w:rPr>
                <w:rFonts w:ascii="Arial Narrow" w:hAnsi="Arial Narrow"/>
                <w:sz w:val="21"/>
                <w:szCs w:val="21"/>
              </w:rPr>
              <w:t>de expansión de la muestra al marco muestral</w:t>
            </w:r>
          </w:p>
        </w:tc>
      </w:tr>
    </w:tbl>
    <w:p w14:paraId="32502360" w14:textId="77777777" w:rsidR="00964965" w:rsidRPr="00646F55" w:rsidRDefault="00964965" w:rsidP="00964965">
      <w:pPr>
        <w:jc w:val="both"/>
        <w:rPr>
          <w:rFonts w:ascii="Century Gothic" w:hAnsi="Century Gothic" w:cs="Calibri"/>
          <w:b/>
          <w:color w:val="404040" w:themeColor="text1" w:themeTint="BF"/>
          <w:sz w:val="14"/>
          <w:szCs w:val="14"/>
        </w:rPr>
      </w:pPr>
    </w:p>
    <w:p w14:paraId="4769F297" w14:textId="68D76FFC" w:rsidR="00964965" w:rsidRDefault="00964965" w:rsidP="00964965">
      <w:pPr>
        <w:jc w:val="both"/>
        <w:rPr>
          <w:rFonts w:ascii="Century Gothic" w:hAnsi="Century Gothic" w:cs="Calibri"/>
          <w:sz w:val="14"/>
          <w:szCs w:val="14"/>
        </w:rPr>
      </w:pPr>
      <w:r w:rsidRPr="00646F55">
        <w:rPr>
          <w:rFonts w:ascii="Century Gothic" w:hAnsi="Century Gothic" w:cs="Calibri"/>
          <w:b/>
          <w:sz w:val="14"/>
          <w:szCs w:val="14"/>
        </w:rPr>
        <w:t>Fuente:</w:t>
      </w:r>
      <w:r w:rsidRPr="00646F55">
        <w:rPr>
          <w:rFonts w:ascii="Century Gothic" w:hAnsi="Century Gothic" w:cs="Calibri"/>
          <w:sz w:val="14"/>
          <w:szCs w:val="14"/>
        </w:rPr>
        <w:t xml:space="preserve"> Módulo Ambiental ENESEM </w:t>
      </w:r>
      <w:r w:rsidR="00D330B6">
        <w:rPr>
          <w:rFonts w:ascii="Century Gothic" w:hAnsi="Century Gothic" w:cs="Calibri"/>
          <w:sz w:val="14"/>
          <w:szCs w:val="14"/>
        </w:rPr>
        <w:t>2020</w:t>
      </w:r>
      <w:r w:rsidRPr="00646F55">
        <w:rPr>
          <w:rFonts w:ascii="Century Gothic" w:hAnsi="Century Gothic" w:cs="Calibri"/>
          <w:sz w:val="14"/>
          <w:szCs w:val="14"/>
        </w:rPr>
        <w:t>.</w:t>
      </w:r>
    </w:p>
    <w:p w14:paraId="468C6718" w14:textId="77777777" w:rsidR="00964965" w:rsidRDefault="00964965" w:rsidP="00964965">
      <w:pPr>
        <w:jc w:val="both"/>
        <w:rPr>
          <w:rFonts w:ascii="Century Gothic" w:eastAsia="Times New Roman" w:hAnsi="Century Gothic" w:cs="Open Sans"/>
          <w:sz w:val="21"/>
          <w:szCs w:val="21"/>
          <w:lang w:eastAsia="es-ES_tradnl"/>
        </w:rPr>
      </w:pPr>
    </w:p>
    <w:p w14:paraId="135BCE33" w14:textId="5D9A9515"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Las dos primeras </w:t>
      </w:r>
      <w:r w:rsidRPr="00BE4C1B">
        <w:rPr>
          <w:rFonts w:ascii="Century Gothic" w:eastAsia="Times New Roman" w:hAnsi="Century Gothic" w:cs="Open Sans"/>
          <w:i/>
          <w:sz w:val="21"/>
          <w:szCs w:val="21"/>
          <w:lang w:eastAsia="es-ES_tradnl"/>
        </w:rPr>
        <w:t>variables de diseño</w:t>
      </w:r>
      <w:r>
        <w:rPr>
          <w:rFonts w:ascii="Century Gothic" w:eastAsia="Times New Roman" w:hAnsi="Century Gothic" w:cs="Open Sans"/>
          <w:sz w:val="21"/>
          <w:szCs w:val="21"/>
          <w:lang w:eastAsia="es-ES_tradnl"/>
        </w:rPr>
        <w:t xml:space="preserve">, </w:t>
      </w:r>
      <w:r>
        <w:rPr>
          <w:rFonts w:ascii="Arial Narrow" w:hAnsi="Arial Narrow"/>
          <w:sz w:val="20"/>
          <w:szCs w:val="18"/>
        </w:rPr>
        <w:t>N_fin</w:t>
      </w:r>
      <w:r>
        <w:rPr>
          <w:rFonts w:ascii="Century Gothic" w:eastAsia="Times New Roman" w:hAnsi="Century Gothic" w:cs="Open Sans"/>
          <w:sz w:val="21"/>
          <w:szCs w:val="21"/>
          <w:lang w:eastAsia="es-ES_tradnl"/>
        </w:rPr>
        <w:t xml:space="preserve"> y </w:t>
      </w:r>
      <w:r>
        <w:rPr>
          <w:rFonts w:ascii="Arial Narrow" w:hAnsi="Arial Narrow"/>
          <w:sz w:val="20"/>
          <w:szCs w:val="18"/>
        </w:rPr>
        <w:t>Pst</w:t>
      </w:r>
      <w:r>
        <w:rPr>
          <w:rFonts w:ascii="Century Gothic" w:eastAsia="Times New Roman" w:hAnsi="Century Gothic" w:cs="Open Sans"/>
          <w:sz w:val="21"/>
          <w:szCs w:val="21"/>
          <w:lang w:eastAsia="es-ES_tradnl"/>
        </w:rPr>
        <w:t xml:space="preserve">, son las que definen el tamaño final de la muestra, así como la migración de dominio de ciertas empresas, todo esto por efecto de la cobertura final de la muestra. En nuestro caso, el MA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tiene 3,7</w:t>
      </w:r>
      <w:r w:rsidR="00987723">
        <w:rPr>
          <w:rFonts w:ascii="Century Gothic" w:eastAsia="Times New Roman" w:hAnsi="Century Gothic" w:cs="Open Sans"/>
          <w:sz w:val="21"/>
          <w:szCs w:val="21"/>
          <w:lang w:eastAsia="es-ES_tradnl"/>
        </w:rPr>
        <w:t>77</w:t>
      </w:r>
      <w:r>
        <w:rPr>
          <w:rFonts w:ascii="Century Gothic" w:eastAsia="Times New Roman" w:hAnsi="Century Gothic" w:cs="Open Sans"/>
          <w:sz w:val="21"/>
          <w:szCs w:val="21"/>
          <w:lang w:eastAsia="es-ES_tradnl"/>
        </w:rPr>
        <w:t xml:space="preserve"> empresas efectivas con información ambiental. Sin embargo, al inicio de la fase de levantamiento de datos, se disponían de 4,</w:t>
      </w:r>
      <w:r w:rsidR="00766814">
        <w:rPr>
          <w:rFonts w:ascii="Century Gothic" w:eastAsia="Times New Roman" w:hAnsi="Century Gothic" w:cs="Open Sans"/>
          <w:sz w:val="21"/>
          <w:szCs w:val="21"/>
          <w:lang w:eastAsia="es-ES_tradnl"/>
        </w:rPr>
        <w:t>3</w:t>
      </w:r>
      <w:r>
        <w:rPr>
          <w:rFonts w:ascii="Century Gothic" w:eastAsia="Times New Roman" w:hAnsi="Century Gothic" w:cs="Open Sans"/>
          <w:sz w:val="21"/>
          <w:szCs w:val="21"/>
          <w:lang w:eastAsia="es-ES_tradnl"/>
        </w:rPr>
        <w:t>2</w:t>
      </w:r>
      <w:r w:rsidR="00766814">
        <w:rPr>
          <w:rFonts w:ascii="Century Gothic" w:eastAsia="Times New Roman" w:hAnsi="Century Gothic" w:cs="Open Sans"/>
          <w:sz w:val="21"/>
          <w:szCs w:val="21"/>
          <w:lang w:eastAsia="es-ES_tradnl"/>
        </w:rPr>
        <w:t>4</w:t>
      </w:r>
      <w:r>
        <w:rPr>
          <w:rFonts w:ascii="Century Gothic" w:eastAsia="Times New Roman" w:hAnsi="Century Gothic" w:cs="Open Sans"/>
          <w:sz w:val="21"/>
          <w:szCs w:val="21"/>
          <w:lang w:eastAsia="es-ES_tradnl"/>
        </w:rPr>
        <w:t xml:space="preserve"> empresas. Con estas empresas, se calculó un factor de expansión inicial, esto es, antes de levantar información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w:t>
      </w:r>
    </w:p>
    <w:p w14:paraId="44024322" w14:textId="77777777" w:rsidR="00964965" w:rsidRDefault="00964965" w:rsidP="00964965">
      <w:pPr>
        <w:jc w:val="both"/>
        <w:rPr>
          <w:rFonts w:ascii="Century Gothic" w:eastAsia="Times New Roman" w:hAnsi="Century Gothic" w:cs="Open Sans"/>
          <w:sz w:val="21"/>
          <w:szCs w:val="21"/>
          <w:lang w:eastAsia="es-ES_tradnl"/>
        </w:rPr>
      </w:pPr>
    </w:p>
    <w:p w14:paraId="25D64991" w14:textId="5BBC940F"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Por razones de novedades en la cobertura </w:t>
      </w:r>
      <w:r w:rsidR="00766814">
        <w:rPr>
          <w:rFonts w:ascii="Century Gothic" w:eastAsia="Times New Roman" w:hAnsi="Century Gothic" w:cs="Open Sans"/>
          <w:sz w:val="21"/>
          <w:szCs w:val="21"/>
          <w:lang w:eastAsia="es-ES_tradnl"/>
        </w:rPr>
        <w:t>p</w:t>
      </w:r>
      <w:r>
        <w:rPr>
          <w:rFonts w:ascii="Century Gothic" w:eastAsia="Times New Roman" w:hAnsi="Century Gothic" w:cs="Open Sans"/>
          <w:sz w:val="21"/>
          <w:szCs w:val="21"/>
          <w:lang w:eastAsia="es-ES_tradnl"/>
        </w:rPr>
        <w:t xml:space="preserve">or falta de información –debido al cierre de la empresa para el año del levantamiento de la información, o a otras causas–, </w:t>
      </w:r>
      <w:r w:rsidR="00766814">
        <w:rPr>
          <w:rFonts w:ascii="Century Gothic" w:eastAsia="Times New Roman" w:hAnsi="Century Gothic" w:cs="Open Sans"/>
          <w:sz w:val="21"/>
          <w:szCs w:val="21"/>
          <w:lang w:eastAsia="es-ES_tradnl"/>
        </w:rPr>
        <w:t>542</w:t>
      </w:r>
      <w:r>
        <w:rPr>
          <w:rFonts w:ascii="Century Gothic" w:eastAsia="Times New Roman" w:hAnsi="Century Gothic" w:cs="Open Sans"/>
          <w:sz w:val="21"/>
          <w:szCs w:val="21"/>
          <w:lang w:eastAsia="es-ES_tradnl"/>
        </w:rPr>
        <w:t xml:space="preserve"> de las 4,</w:t>
      </w:r>
      <w:r w:rsidR="00766814">
        <w:rPr>
          <w:rFonts w:ascii="Century Gothic" w:eastAsia="Times New Roman" w:hAnsi="Century Gothic" w:cs="Open Sans"/>
          <w:sz w:val="21"/>
          <w:szCs w:val="21"/>
          <w:lang w:eastAsia="es-ES_tradnl"/>
        </w:rPr>
        <w:t>3</w:t>
      </w:r>
      <w:r>
        <w:rPr>
          <w:rFonts w:ascii="Century Gothic" w:eastAsia="Times New Roman" w:hAnsi="Century Gothic" w:cs="Open Sans"/>
          <w:sz w:val="21"/>
          <w:szCs w:val="21"/>
          <w:lang w:eastAsia="es-ES_tradnl"/>
        </w:rPr>
        <w:t>2</w:t>
      </w:r>
      <w:r w:rsidR="00766814">
        <w:rPr>
          <w:rFonts w:ascii="Century Gothic" w:eastAsia="Times New Roman" w:hAnsi="Century Gothic" w:cs="Open Sans"/>
          <w:sz w:val="21"/>
          <w:szCs w:val="21"/>
          <w:lang w:eastAsia="es-ES_tradnl"/>
        </w:rPr>
        <w:t>4</w:t>
      </w:r>
      <w:r>
        <w:rPr>
          <w:rFonts w:ascii="Century Gothic" w:eastAsia="Times New Roman" w:hAnsi="Century Gothic" w:cs="Open Sans"/>
          <w:sz w:val="21"/>
          <w:szCs w:val="21"/>
          <w:lang w:eastAsia="es-ES_tradnl"/>
        </w:rPr>
        <w:t xml:space="preserve"> empresas salieron de la lista final de empresas publicadas. Una parte del resto de empresas efectivas </w:t>
      </w:r>
      <w:r>
        <w:rPr>
          <w:rFonts w:ascii="Century Gothic" w:eastAsia="Times New Roman" w:hAnsi="Century Gothic" w:cs="Open Sans"/>
          <w:sz w:val="21"/>
          <w:szCs w:val="21"/>
          <w:lang w:eastAsia="es-ES_tradnl"/>
        </w:rPr>
        <w:lastRenderedPageBreak/>
        <w:t xml:space="preserve">fueron afectadas por novedades varias –como cambio de tamaño y de actividad económica–. Por todo esto, se necesitó recalcular el factor de expansión, y así se publicó finalmente la variable de expansión </w:t>
      </w:r>
      <w:r>
        <w:rPr>
          <w:rFonts w:ascii="Arial Narrow" w:hAnsi="Arial Narrow"/>
          <w:sz w:val="20"/>
          <w:szCs w:val="18"/>
        </w:rPr>
        <w:t>f</w:t>
      </w:r>
      <w:r w:rsidR="00766814">
        <w:rPr>
          <w:rFonts w:ascii="Arial Narrow" w:hAnsi="Arial Narrow"/>
          <w:sz w:val="20"/>
          <w:szCs w:val="18"/>
        </w:rPr>
        <w:t>_</w:t>
      </w:r>
      <w:r>
        <w:rPr>
          <w:rFonts w:ascii="Arial Narrow" w:hAnsi="Arial Narrow"/>
          <w:sz w:val="20"/>
          <w:szCs w:val="18"/>
        </w:rPr>
        <w:t>exp</w:t>
      </w:r>
      <w:r>
        <w:rPr>
          <w:rFonts w:ascii="Century Gothic" w:eastAsia="Times New Roman" w:hAnsi="Century Gothic" w:cs="Open Sans"/>
          <w:sz w:val="21"/>
          <w:szCs w:val="21"/>
          <w:lang w:eastAsia="es-ES_tradnl"/>
        </w:rPr>
        <w:t>, la cual ya se indicó anteriormente que tiene por objetivo hacer que los resultados de los estimadores poblacionales calculados a partir de la muestra presente en la BDD sean interpretados como representativos del marco muestral maestro de empresas, pero también representativos del sector empresarial formal nacional, si los estimadores son de tipo proporción o porcentaje.</w:t>
      </w:r>
    </w:p>
    <w:p w14:paraId="28D10DD4" w14:textId="77777777" w:rsidR="00964965" w:rsidRDefault="00964965" w:rsidP="00964965">
      <w:pPr>
        <w:jc w:val="both"/>
        <w:rPr>
          <w:rFonts w:ascii="Century Gothic" w:eastAsia="Times New Roman" w:hAnsi="Century Gothic" w:cs="Open Sans"/>
          <w:sz w:val="21"/>
          <w:szCs w:val="21"/>
          <w:lang w:eastAsia="es-ES_tradnl"/>
        </w:rPr>
      </w:pPr>
    </w:p>
    <w:p w14:paraId="770C42CC" w14:textId="6CFA77DA" w:rsidR="00964965" w:rsidRPr="00C36F7B" w:rsidRDefault="00964965" w:rsidP="00964965">
      <w:pPr>
        <w:pStyle w:val="Descripcin"/>
        <w:keepNext/>
        <w:jc w:val="both"/>
        <w:rPr>
          <w:i w:val="0"/>
        </w:rPr>
      </w:pPr>
      <w:bookmarkStart w:id="9" w:name="_Toc101364157"/>
      <w:r w:rsidRPr="00C36F7B">
        <w:rPr>
          <w:b/>
          <w:bCs/>
          <w:i w:val="0"/>
          <w:color w:val="auto"/>
          <w:sz w:val="16"/>
        </w:rPr>
        <w:t xml:space="preserve">Tabla </w:t>
      </w:r>
      <w:r w:rsidRPr="00C36F7B">
        <w:rPr>
          <w:b/>
          <w:bCs/>
          <w:i w:val="0"/>
          <w:color w:val="auto"/>
          <w:sz w:val="16"/>
        </w:rPr>
        <w:fldChar w:fldCharType="begin"/>
      </w:r>
      <w:r w:rsidRPr="00C36F7B">
        <w:rPr>
          <w:b/>
          <w:bCs/>
          <w:i w:val="0"/>
          <w:color w:val="auto"/>
          <w:sz w:val="16"/>
        </w:rPr>
        <w:instrText xml:space="preserve"> SEQ Tabla \* ARABIC </w:instrText>
      </w:r>
      <w:r w:rsidRPr="00C36F7B">
        <w:rPr>
          <w:b/>
          <w:bCs/>
          <w:i w:val="0"/>
          <w:color w:val="auto"/>
          <w:sz w:val="16"/>
        </w:rPr>
        <w:fldChar w:fldCharType="separate"/>
      </w:r>
      <w:r>
        <w:rPr>
          <w:b/>
          <w:bCs/>
          <w:i w:val="0"/>
          <w:noProof/>
          <w:color w:val="auto"/>
          <w:sz w:val="16"/>
        </w:rPr>
        <w:t>3</w:t>
      </w:r>
      <w:r w:rsidRPr="00C36F7B">
        <w:rPr>
          <w:b/>
          <w:bCs/>
          <w:i w:val="0"/>
          <w:color w:val="auto"/>
          <w:sz w:val="16"/>
        </w:rPr>
        <w:fldChar w:fldCharType="end"/>
      </w:r>
      <w:r w:rsidRPr="00C36F7B">
        <w:rPr>
          <w:b/>
          <w:bCs/>
          <w:i w:val="0"/>
          <w:color w:val="auto"/>
          <w:sz w:val="16"/>
        </w:rPr>
        <w:t xml:space="preserve">. </w:t>
      </w:r>
      <w:r>
        <w:rPr>
          <w:rFonts w:cstheme="minorHAnsi"/>
          <w:i w:val="0"/>
          <w:color w:val="auto"/>
          <w:sz w:val="16"/>
        </w:rPr>
        <w:t xml:space="preserve">Lista </w:t>
      </w:r>
      <w:r w:rsidR="00766814">
        <w:rPr>
          <w:rFonts w:cstheme="minorHAnsi"/>
          <w:i w:val="0"/>
          <w:color w:val="auto"/>
          <w:sz w:val="16"/>
        </w:rPr>
        <w:t xml:space="preserve">parcial </w:t>
      </w:r>
      <w:r>
        <w:rPr>
          <w:rFonts w:cstheme="minorHAnsi"/>
          <w:i w:val="0"/>
          <w:color w:val="auto"/>
          <w:sz w:val="16"/>
        </w:rPr>
        <w:t xml:space="preserve">de variables </w:t>
      </w:r>
      <w:r w:rsidR="0058171D">
        <w:rPr>
          <w:rFonts w:cstheme="minorHAnsi"/>
          <w:i w:val="0"/>
          <w:color w:val="auto"/>
          <w:sz w:val="16"/>
        </w:rPr>
        <w:t>temáticas</w:t>
      </w:r>
      <w:r>
        <w:rPr>
          <w:rFonts w:cstheme="minorHAnsi"/>
          <w:i w:val="0"/>
          <w:color w:val="auto"/>
          <w:sz w:val="16"/>
        </w:rPr>
        <w:t xml:space="preserve"> de la BDD del MA de la ENESEM </w:t>
      </w:r>
      <w:r w:rsidR="00D330B6">
        <w:rPr>
          <w:rFonts w:cstheme="minorHAnsi"/>
          <w:i w:val="0"/>
          <w:color w:val="auto"/>
          <w:sz w:val="16"/>
        </w:rPr>
        <w:t>2020</w:t>
      </w:r>
      <w:r w:rsidRPr="00646F55">
        <w:rPr>
          <w:rFonts w:cstheme="minorHAnsi"/>
          <w:i w:val="0"/>
          <w:color w:val="auto"/>
          <w:sz w:val="16"/>
        </w:rPr>
        <w:t>.</w:t>
      </w:r>
      <w:bookmarkEnd w:id="9"/>
    </w:p>
    <w:tbl>
      <w:tblPr>
        <w:tblStyle w:val="Tablaconcuadrcula"/>
        <w:tblW w:w="0" w:type="auto"/>
        <w:tblLayout w:type="fixed"/>
        <w:tblLook w:val="04A0" w:firstRow="1" w:lastRow="0" w:firstColumn="1" w:lastColumn="0" w:noHBand="0" w:noVBand="1"/>
      </w:tblPr>
      <w:tblGrid>
        <w:gridCol w:w="985"/>
        <w:gridCol w:w="2900"/>
      </w:tblGrid>
      <w:tr w:rsidR="00964965" w14:paraId="5CCDE1C5" w14:textId="77777777" w:rsidTr="00C844C2">
        <w:tc>
          <w:tcPr>
            <w:tcW w:w="985" w:type="dxa"/>
            <w:shd w:val="clear" w:color="auto" w:fill="D9E2F3" w:themeFill="accent1" w:themeFillTint="33"/>
            <w:vAlign w:val="center"/>
          </w:tcPr>
          <w:p w14:paraId="2C6B8293" w14:textId="77777777" w:rsidR="00964965" w:rsidRPr="001C2588" w:rsidRDefault="00964965" w:rsidP="00C844C2">
            <w:pPr>
              <w:jc w:val="both"/>
              <w:rPr>
                <w:rFonts w:ascii="Century Gothic" w:eastAsia="Times New Roman" w:hAnsi="Century Gothic" w:cs="Open Sans"/>
                <w:b/>
                <w:sz w:val="18"/>
                <w:szCs w:val="21"/>
                <w:lang w:eastAsia="es-ES_tradnl"/>
              </w:rPr>
            </w:pPr>
            <w:r w:rsidRPr="001C2588">
              <w:rPr>
                <w:rFonts w:ascii="Century Gothic" w:eastAsia="Times New Roman" w:hAnsi="Century Gothic" w:cs="Open Sans"/>
                <w:b/>
                <w:sz w:val="18"/>
                <w:szCs w:val="21"/>
                <w:lang w:eastAsia="es-ES_tradnl"/>
              </w:rPr>
              <w:t>Nombre de</w:t>
            </w:r>
            <w:r>
              <w:rPr>
                <w:rFonts w:ascii="Century Gothic" w:eastAsia="Times New Roman" w:hAnsi="Century Gothic" w:cs="Open Sans"/>
                <w:b/>
                <w:sz w:val="18"/>
                <w:szCs w:val="21"/>
                <w:lang w:eastAsia="es-ES_tradnl"/>
              </w:rPr>
              <w:t xml:space="preserve"> la</w:t>
            </w:r>
            <w:r w:rsidRPr="001C2588">
              <w:rPr>
                <w:rFonts w:ascii="Century Gothic" w:eastAsia="Times New Roman" w:hAnsi="Century Gothic" w:cs="Open Sans"/>
                <w:b/>
                <w:sz w:val="18"/>
                <w:szCs w:val="21"/>
                <w:lang w:eastAsia="es-ES_tradnl"/>
              </w:rPr>
              <w:t xml:space="preserve"> variable</w:t>
            </w:r>
          </w:p>
        </w:tc>
        <w:tc>
          <w:tcPr>
            <w:tcW w:w="2900" w:type="dxa"/>
            <w:shd w:val="clear" w:color="auto" w:fill="D9E2F3" w:themeFill="accent1" w:themeFillTint="33"/>
            <w:vAlign w:val="center"/>
          </w:tcPr>
          <w:p w14:paraId="337CFB9F" w14:textId="77777777" w:rsidR="00964965" w:rsidRPr="001C2588" w:rsidRDefault="00964965" w:rsidP="00C844C2">
            <w:pPr>
              <w:jc w:val="both"/>
              <w:rPr>
                <w:rFonts w:ascii="Century Gothic" w:eastAsia="Times New Roman" w:hAnsi="Century Gothic" w:cs="Open Sans"/>
                <w:b/>
                <w:sz w:val="18"/>
                <w:szCs w:val="21"/>
                <w:lang w:eastAsia="es-ES_tradnl"/>
              </w:rPr>
            </w:pPr>
            <w:r w:rsidRPr="001C2588">
              <w:rPr>
                <w:rFonts w:ascii="Century Gothic" w:eastAsia="Times New Roman" w:hAnsi="Century Gothic" w:cs="Open Sans"/>
                <w:b/>
                <w:sz w:val="18"/>
                <w:szCs w:val="21"/>
                <w:lang w:eastAsia="es-ES_tradnl"/>
              </w:rPr>
              <w:t>Descripción</w:t>
            </w:r>
          </w:p>
        </w:tc>
      </w:tr>
      <w:tr w:rsidR="00964965" w14:paraId="690A7899" w14:textId="77777777" w:rsidTr="00C844C2">
        <w:tc>
          <w:tcPr>
            <w:tcW w:w="985" w:type="dxa"/>
          </w:tcPr>
          <w:p w14:paraId="615B28B1" w14:textId="77777777" w:rsidR="00964965" w:rsidRPr="001C0E15" w:rsidRDefault="00964965" w:rsidP="00C844C2">
            <w:pPr>
              <w:jc w:val="both"/>
              <w:rPr>
                <w:rFonts w:ascii="Arial Narrow" w:hAnsi="Arial Narrow"/>
                <w:sz w:val="20"/>
                <w:szCs w:val="18"/>
              </w:rPr>
            </w:pPr>
            <w:r w:rsidRPr="001C0E15">
              <w:rPr>
                <w:rFonts w:ascii="Arial Narrow" w:hAnsi="Arial Narrow"/>
                <w:sz w:val="20"/>
                <w:szCs w:val="18"/>
              </w:rPr>
              <w:t>v7002</w:t>
            </w:r>
          </w:p>
        </w:tc>
        <w:tc>
          <w:tcPr>
            <w:tcW w:w="2900" w:type="dxa"/>
          </w:tcPr>
          <w:p w14:paraId="0134FE3F" w14:textId="77777777" w:rsidR="00964965" w:rsidRPr="0045578C" w:rsidRDefault="00964965" w:rsidP="00C844C2">
            <w:pPr>
              <w:jc w:val="both"/>
              <w:rPr>
                <w:rFonts w:ascii="Arial Narrow" w:eastAsia="Times New Roman" w:hAnsi="Arial Narrow" w:cs="Open Sans"/>
                <w:sz w:val="21"/>
                <w:szCs w:val="21"/>
                <w:lang w:eastAsia="es-ES_tradnl"/>
              </w:rPr>
            </w:pPr>
            <w:r w:rsidRPr="001C0E15">
              <w:rPr>
                <w:rFonts w:ascii="Arial Narrow" w:hAnsi="Arial Narrow"/>
                <w:sz w:val="21"/>
                <w:szCs w:val="21"/>
              </w:rPr>
              <w:t>2. Indique el número de personas dedicadas a actividades ambientales</w:t>
            </w:r>
          </w:p>
        </w:tc>
      </w:tr>
      <w:tr w:rsidR="00964965" w14:paraId="017C4A29" w14:textId="77777777" w:rsidTr="00C844C2">
        <w:tc>
          <w:tcPr>
            <w:tcW w:w="985" w:type="dxa"/>
          </w:tcPr>
          <w:p w14:paraId="51C16AE3" w14:textId="77777777" w:rsidR="00964965" w:rsidRPr="001C0E15" w:rsidRDefault="00964965" w:rsidP="00C844C2">
            <w:pPr>
              <w:jc w:val="both"/>
              <w:rPr>
                <w:rFonts w:ascii="Arial Narrow" w:hAnsi="Arial Narrow"/>
                <w:sz w:val="20"/>
                <w:szCs w:val="18"/>
              </w:rPr>
            </w:pPr>
            <w:r w:rsidRPr="001C0E15">
              <w:rPr>
                <w:rFonts w:ascii="Arial Narrow" w:hAnsi="Arial Narrow"/>
                <w:sz w:val="20"/>
                <w:szCs w:val="18"/>
              </w:rPr>
              <w:t>v7003</w:t>
            </w:r>
          </w:p>
        </w:tc>
        <w:tc>
          <w:tcPr>
            <w:tcW w:w="2900" w:type="dxa"/>
          </w:tcPr>
          <w:p w14:paraId="042E5B96" w14:textId="77777777" w:rsidR="00964965" w:rsidRPr="0045578C" w:rsidRDefault="00964965" w:rsidP="00C844C2">
            <w:pPr>
              <w:jc w:val="both"/>
              <w:rPr>
                <w:rFonts w:ascii="Arial Narrow" w:eastAsia="Times New Roman" w:hAnsi="Arial Narrow" w:cs="Open Sans"/>
                <w:sz w:val="21"/>
                <w:szCs w:val="21"/>
                <w:lang w:eastAsia="es-ES_tradnl"/>
              </w:rPr>
            </w:pPr>
            <w:r w:rsidRPr="001C0E15">
              <w:rPr>
                <w:rFonts w:ascii="Arial Narrow" w:hAnsi="Arial Narrow"/>
                <w:sz w:val="21"/>
                <w:szCs w:val="21"/>
              </w:rPr>
              <w:t>2.a. Número de personas que trabajaron a tiempo completo</w:t>
            </w:r>
          </w:p>
        </w:tc>
      </w:tr>
      <w:tr w:rsidR="00964965" w14:paraId="121B5BA3" w14:textId="77777777" w:rsidTr="00C844C2">
        <w:tc>
          <w:tcPr>
            <w:tcW w:w="985" w:type="dxa"/>
          </w:tcPr>
          <w:p w14:paraId="1835B102" w14:textId="77777777" w:rsidR="00964965" w:rsidRDefault="00964965" w:rsidP="00C844C2">
            <w:pPr>
              <w:jc w:val="both"/>
              <w:rPr>
                <w:rFonts w:ascii="Arial Narrow" w:hAnsi="Arial Narrow"/>
                <w:sz w:val="20"/>
                <w:szCs w:val="18"/>
              </w:rPr>
            </w:pPr>
            <w:r w:rsidRPr="001C0E15">
              <w:rPr>
                <w:rFonts w:ascii="Arial Narrow" w:hAnsi="Arial Narrow"/>
                <w:sz w:val="20"/>
                <w:szCs w:val="18"/>
              </w:rPr>
              <w:t>v7004</w:t>
            </w:r>
          </w:p>
        </w:tc>
        <w:tc>
          <w:tcPr>
            <w:tcW w:w="2900" w:type="dxa"/>
          </w:tcPr>
          <w:p w14:paraId="5ED45059" w14:textId="77777777" w:rsidR="00964965" w:rsidRDefault="00964965" w:rsidP="00C844C2">
            <w:pPr>
              <w:jc w:val="both"/>
              <w:rPr>
                <w:rFonts w:ascii="Arial Narrow" w:hAnsi="Arial Narrow"/>
                <w:sz w:val="21"/>
                <w:szCs w:val="21"/>
              </w:rPr>
            </w:pPr>
            <w:r w:rsidRPr="001C0E15">
              <w:rPr>
                <w:rFonts w:ascii="Arial Narrow" w:hAnsi="Arial Narrow"/>
                <w:sz w:val="21"/>
                <w:szCs w:val="21"/>
              </w:rPr>
              <w:t>2.b. Número de personas que trabajaron a tiempo parcial</w:t>
            </w:r>
          </w:p>
        </w:tc>
      </w:tr>
      <w:tr w:rsidR="00964965" w14:paraId="30B979D4" w14:textId="77777777" w:rsidTr="00C844C2">
        <w:tc>
          <w:tcPr>
            <w:tcW w:w="985" w:type="dxa"/>
          </w:tcPr>
          <w:p w14:paraId="3E972A39" w14:textId="77777777" w:rsidR="00964965" w:rsidRPr="00C15CE0" w:rsidRDefault="00964965" w:rsidP="00C844C2">
            <w:pPr>
              <w:jc w:val="both"/>
              <w:rPr>
                <w:rFonts w:ascii="Arial Narrow" w:hAnsi="Arial Narrow"/>
                <w:sz w:val="20"/>
                <w:szCs w:val="18"/>
              </w:rPr>
            </w:pPr>
            <w:r w:rsidRPr="00C15CE0">
              <w:rPr>
                <w:rFonts w:ascii="Arial Narrow" w:hAnsi="Arial Narrow"/>
                <w:sz w:val="20"/>
                <w:szCs w:val="18"/>
              </w:rPr>
              <w:t>v7007</w:t>
            </w:r>
          </w:p>
        </w:tc>
        <w:tc>
          <w:tcPr>
            <w:tcW w:w="2900" w:type="dxa"/>
          </w:tcPr>
          <w:p w14:paraId="483B946A" w14:textId="5C09B9DF" w:rsidR="00964965" w:rsidRPr="00C15CE0" w:rsidRDefault="00964965" w:rsidP="00C844C2">
            <w:pPr>
              <w:jc w:val="both"/>
              <w:rPr>
                <w:rFonts w:ascii="Arial Narrow" w:hAnsi="Arial Narrow"/>
                <w:sz w:val="21"/>
                <w:szCs w:val="21"/>
              </w:rPr>
            </w:pPr>
            <w:r w:rsidRPr="00C15CE0">
              <w:rPr>
                <w:rFonts w:ascii="Arial Narrow" w:hAnsi="Arial Narrow"/>
                <w:sz w:val="21"/>
                <w:szCs w:val="21"/>
              </w:rPr>
              <w:t>3. ¿Cuál fue el costo y gasto en el año 20</w:t>
            </w:r>
            <w:r w:rsidR="00766814">
              <w:rPr>
                <w:rFonts w:ascii="Arial Narrow" w:hAnsi="Arial Narrow"/>
                <w:sz w:val="21"/>
                <w:szCs w:val="21"/>
              </w:rPr>
              <w:t>20</w:t>
            </w:r>
            <w:r w:rsidRPr="00C15CE0">
              <w:rPr>
                <w:rFonts w:ascii="Arial Narrow" w:hAnsi="Arial Narrow"/>
                <w:sz w:val="21"/>
                <w:szCs w:val="21"/>
              </w:rPr>
              <w:t xml:space="preserve"> en Protección y Gestión Ambiental? - COSTO AMBIENTAL</w:t>
            </w:r>
          </w:p>
        </w:tc>
      </w:tr>
      <w:tr w:rsidR="00964965" w14:paraId="0C7E03B4" w14:textId="77777777" w:rsidTr="00C844C2">
        <w:tc>
          <w:tcPr>
            <w:tcW w:w="985" w:type="dxa"/>
          </w:tcPr>
          <w:p w14:paraId="56839341" w14:textId="77777777" w:rsidR="00964965" w:rsidRDefault="00964965" w:rsidP="00C844C2">
            <w:pPr>
              <w:jc w:val="both"/>
              <w:rPr>
                <w:rFonts w:ascii="Arial Narrow" w:hAnsi="Arial Narrow"/>
                <w:sz w:val="20"/>
                <w:szCs w:val="18"/>
              </w:rPr>
            </w:pPr>
            <w:r w:rsidRPr="00C15CE0">
              <w:rPr>
                <w:rFonts w:ascii="Arial Narrow" w:hAnsi="Arial Narrow"/>
                <w:sz w:val="20"/>
                <w:szCs w:val="18"/>
              </w:rPr>
              <w:t>v7008</w:t>
            </w:r>
          </w:p>
        </w:tc>
        <w:tc>
          <w:tcPr>
            <w:tcW w:w="2900" w:type="dxa"/>
          </w:tcPr>
          <w:p w14:paraId="10B50B45" w14:textId="49248284" w:rsidR="00964965" w:rsidRDefault="00964965" w:rsidP="00C844C2">
            <w:pPr>
              <w:jc w:val="both"/>
              <w:rPr>
                <w:rFonts w:ascii="Arial Narrow" w:hAnsi="Arial Narrow"/>
                <w:sz w:val="21"/>
                <w:szCs w:val="21"/>
              </w:rPr>
            </w:pPr>
            <w:r w:rsidRPr="00C15CE0">
              <w:rPr>
                <w:rFonts w:ascii="Arial Narrow" w:hAnsi="Arial Narrow"/>
                <w:sz w:val="21"/>
                <w:szCs w:val="21"/>
              </w:rPr>
              <w:t>3. ¿Cuál fue el costo y gasto en el año 20</w:t>
            </w:r>
            <w:r w:rsidR="00766814">
              <w:rPr>
                <w:rFonts w:ascii="Arial Narrow" w:hAnsi="Arial Narrow"/>
                <w:sz w:val="21"/>
                <w:szCs w:val="21"/>
              </w:rPr>
              <w:t>20</w:t>
            </w:r>
            <w:r w:rsidRPr="00C15CE0">
              <w:rPr>
                <w:rFonts w:ascii="Arial Narrow" w:hAnsi="Arial Narrow"/>
                <w:sz w:val="21"/>
                <w:szCs w:val="21"/>
              </w:rPr>
              <w:t xml:space="preserve"> en Protección y Gestión Ambiental? - GASTO AMBIENTAL</w:t>
            </w:r>
          </w:p>
        </w:tc>
      </w:tr>
      <w:tr w:rsidR="00964965" w14:paraId="6C68937F" w14:textId="77777777" w:rsidTr="00C844C2">
        <w:tc>
          <w:tcPr>
            <w:tcW w:w="985" w:type="dxa"/>
          </w:tcPr>
          <w:p w14:paraId="5960B541" w14:textId="77777777" w:rsidR="00964965" w:rsidRDefault="00964965" w:rsidP="00C844C2">
            <w:pPr>
              <w:jc w:val="both"/>
              <w:rPr>
                <w:rFonts w:ascii="Arial Narrow" w:hAnsi="Arial Narrow"/>
                <w:sz w:val="20"/>
                <w:szCs w:val="18"/>
              </w:rPr>
            </w:pPr>
            <w:r>
              <w:rPr>
                <w:rFonts w:ascii="Arial Narrow" w:hAnsi="Arial Narrow"/>
                <w:sz w:val="20"/>
                <w:szCs w:val="18"/>
              </w:rPr>
              <w:t>v74</w:t>
            </w:r>
          </w:p>
        </w:tc>
        <w:tc>
          <w:tcPr>
            <w:tcW w:w="2900" w:type="dxa"/>
          </w:tcPr>
          <w:p w14:paraId="6E166689" w14:textId="38A4B3A7" w:rsidR="00964965" w:rsidRDefault="00964965" w:rsidP="00C844C2">
            <w:pPr>
              <w:jc w:val="both"/>
              <w:rPr>
                <w:rFonts w:ascii="Arial Narrow" w:hAnsi="Arial Narrow"/>
                <w:sz w:val="21"/>
                <w:szCs w:val="21"/>
              </w:rPr>
            </w:pPr>
            <w:r w:rsidRPr="00C15CE0">
              <w:rPr>
                <w:rFonts w:ascii="Arial Narrow" w:hAnsi="Arial Narrow"/>
                <w:sz w:val="21"/>
                <w:szCs w:val="21"/>
              </w:rPr>
              <w:t>4. Su proyecto, obra o actividad, tiene algún tipo de permiso ambiental (vigente o en trámite)  durante el año 20</w:t>
            </w:r>
            <w:r w:rsidR="00766814">
              <w:rPr>
                <w:rFonts w:ascii="Arial Narrow" w:hAnsi="Arial Narrow"/>
                <w:sz w:val="21"/>
                <w:szCs w:val="21"/>
              </w:rPr>
              <w:t>20</w:t>
            </w:r>
            <w:r>
              <w:rPr>
                <w:rFonts w:ascii="Arial Narrow" w:hAnsi="Arial Narrow"/>
                <w:sz w:val="21"/>
                <w:szCs w:val="21"/>
              </w:rPr>
              <w:t xml:space="preserve">, Sí </w:t>
            </w:r>
            <w:r w:rsidRPr="00C15CE0">
              <w:rPr>
                <w:rFonts w:ascii="Arial Narrow" w:hAnsi="Arial Narrow"/>
                <w:sz w:val="21"/>
                <w:szCs w:val="21"/>
              </w:rPr>
              <w:t>/</w:t>
            </w:r>
            <w:r>
              <w:rPr>
                <w:rFonts w:ascii="Arial Narrow" w:hAnsi="Arial Narrow"/>
                <w:sz w:val="21"/>
                <w:szCs w:val="21"/>
              </w:rPr>
              <w:t xml:space="preserve"> N</w:t>
            </w:r>
            <w:r w:rsidRPr="00C15CE0">
              <w:rPr>
                <w:rFonts w:ascii="Arial Narrow" w:hAnsi="Arial Narrow"/>
                <w:sz w:val="21"/>
                <w:szCs w:val="21"/>
              </w:rPr>
              <w:t>o</w:t>
            </w:r>
          </w:p>
        </w:tc>
      </w:tr>
      <w:tr w:rsidR="00964965" w14:paraId="61570E6D" w14:textId="77777777" w:rsidTr="00C844C2">
        <w:tc>
          <w:tcPr>
            <w:tcW w:w="985" w:type="dxa"/>
          </w:tcPr>
          <w:p w14:paraId="02EF678D" w14:textId="77777777" w:rsidR="00964965" w:rsidRDefault="00964965" w:rsidP="00C844C2">
            <w:pPr>
              <w:jc w:val="both"/>
              <w:rPr>
                <w:rFonts w:ascii="Arial Narrow" w:hAnsi="Arial Narrow"/>
                <w:sz w:val="20"/>
                <w:szCs w:val="18"/>
              </w:rPr>
            </w:pPr>
            <w:r>
              <w:rPr>
                <w:rFonts w:ascii="Arial Narrow" w:hAnsi="Arial Narrow"/>
                <w:sz w:val="20"/>
                <w:szCs w:val="18"/>
              </w:rPr>
              <w:t>v75</w:t>
            </w:r>
          </w:p>
        </w:tc>
        <w:tc>
          <w:tcPr>
            <w:tcW w:w="2900" w:type="dxa"/>
          </w:tcPr>
          <w:p w14:paraId="35643BCE" w14:textId="3A67A211" w:rsidR="00964965" w:rsidRPr="00C15CE0" w:rsidRDefault="00964965" w:rsidP="00C844C2">
            <w:pPr>
              <w:jc w:val="both"/>
              <w:rPr>
                <w:rFonts w:ascii="Arial Narrow" w:hAnsi="Arial Narrow"/>
                <w:sz w:val="21"/>
                <w:szCs w:val="21"/>
              </w:rPr>
            </w:pPr>
            <w:r>
              <w:rPr>
                <w:rFonts w:ascii="Arial Narrow" w:hAnsi="Arial Narrow"/>
                <w:sz w:val="21"/>
                <w:szCs w:val="21"/>
              </w:rPr>
              <w:t>5. ¿</w:t>
            </w:r>
            <w:r w:rsidRPr="000D184D">
              <w:rPr>
                <w:rFonts w:ascii="Arial Narrow" w:hAnsi="Arial Narrow"/>
                <w:sz w:val="21"/>
                <w:szCs w:val="21"/>
              </w:rPr>
              <w:t xml:space="preserve">La empresa contó con </w:t>
            </w:r>
            <w:r>
              <w:rPr>
                <w:rFonts w:ascii="Arial Narrow" w:hAnsi="Arial Narrow"/>
                <w:sz w:val="21"/>
                <w:szCs w:val="21"/>
              </w:rPr>
              <w:t>la certificación ISO 14001</w:t>
            </w:r>
            <w:r w:rsidR="00766814">
              <w:rPr>
                <w:rFonts w:ascii="Arial Narrow" w:hAnsi="Arial Narrow"/>
                <w:sz w:val="21"/>
                <w:szCs w:val="21"/>
              </w:rPr>
              <w:t>:2015</w:t>
            </w:r>
            <w:r>
              <w:rPr>
                <w:rFonts w:ascii="Arial Narrow" w:hAnsi="Arial Narrow"/>
                <w:sz w:val="21"/>
                <w:szCs w:val="21"/>
              </w:rPr>
              <w:t>? - Sí</w:t>
            </w:r>
            <w:r w:rsidRPr="000D184D">
              <w:rPr>
                <w:rFonts w:ascii="Arial Narrow" w:hAnsi="Arial Narrow"/>
                <w:sz w:val="21"/>
                <w:szCs w:val="21"/>
              </w:rPr>
              <w:t xml:space="preserve"> / No</w:t>
            </w:r>
          </w:p>
        </w:tc>
      </w:tr>
      <w:tr w:rsidR="00964965" w14:paraId="0A729215" w14:textId="77777777" w:rsidTr="00C844C2">
        <w:tc>
          <w:tcPr>
            <w:tcW w:w="985" w:type="dxa"/>
          </w:tcPr>
          <w:p w14:paraId="63D14C1A" w14:textId="77777777" w:rsidR="00964965" w:rsidRDefault="00964965" w:rsidP="00C844C2">
            <w:pPr>
              <w:jc w:val="both"/>
              <w:rPr>
                <w:rFonts w:ascii="Arial Narrow" w:hAnsi="Arial Narrow"/>
                <w:sz w:val="20"/>
                <w:szCs w:val="18"/>
              </w:rPr>
            </w:pPr>
            <w:r w:rsidRPr="000D184D">
              <w:rPr>
                <w:rFonts w:ascii="Arial Narrow" w:hAnsi="Arial Narrow"/>
                <w:sz w:val="20"/>
                <w:szCs w:val="18"/>
              </w:rPr>
              <w:t>v8001</w:t>
            </w:r>
          </w:p>
        </w:tc>
        <w:tc>
          <w:tcPr>
            <w:tcW w:w="2900" w:type="dxa"/>
          </w:tcPr>
          <w:p w14:paraId="6F617FD9" w14:textId="77777777" w:rsidR="00964965" w:rsidRPr="00C15CE0" w:rsidRDefault="00964965" w:rsidP="00C844C2">
            <w:pPr>
              <w:jc w:val="both"/>
              <w:rPr>
                <w:rFonts w:ascii="Arial Narrow" w:hAnsi="Arial Narrow"/>
                <w:sz w:val="21"/>
                <w:szCs w:val="21"/>
              </w:rPr>
            </w:pPr>
            <w:r w:rsidRPr="000D184D">
              <w:rPr>
                <w:rFonts w:ascii="Arial Narrow" w:hAnsi="Arial Narrow"/>
                <w:sz w:val="21"/>
                <w:szCs w:val="21"/>
              </w:rPr>
              <w:t>De acuerdo a la información recopilada en el capítulo 4 su empresa invirtió</w:t>
            </w:r>
            <w:r>
              <w:rPr>
                <w:rFonts w:ascii="Arial Narrow" w:hAnsi="Arial Narrow"/>
                <w:sz w:val="21"/>
                <w:szCs w:val="21"/>
              </w:rPr>
              <w:t xml:space="preserve"> ($ / año)</w:t>
            </w:r>
            <w:r w:rsidRPr="000D184D">
              <w:rPr>
                <w:rFonts w:ascii="Arial Narrow" w:hAnsi="Arial Narrow"/>
                <w:sz w:val="21"/>
                <w:szCs w:val="21"/>
              </w:rPr>
              <w:t>:</w:t>
            </w:r>
            <w:r>
              <w:rPr>
                <w:rFonts w:ascii="Arial Narrow" w:hAnsi="Arial Narrow"/>
                <w:sz w:val="21"/>
                <w:szCs w:val="21"/>
              </w:rPr>
              <w:t xml:space="preserve"> </w:t>
            </w:r>
          </w:p>
        </w:tc>
      </w:tr>
      <w:tr w:rsidR="00964965" w14:paraId="1F519426" w14:textId="77777777" w:rsidTr="00C844C2">
        <w:tc>
          <w:tcPr>
            <w:tcW w:w="985" w:type="dxa"/>
          </w:tcPr>
          <w:p w14:paraId="685AF8FB" w14:textId="77777777" w:rsidR="00964965" w:rsidRDefault="00964965" w:rsidP="00C844C2">
            <w:pPr>
              <w:jc w:val="both"/>
              <w:rPr>
                <w:rFonts w:ascii="Arial Narrow" w:hAnsi="Arial Narrow"/>
                <w:sz w:val="20"/>
                <w:szCs w:val="18"/>
              </w:rPr>
            </w:pPr>
            <w:r w:rsidRPr="000D184D">
              <w:rPr>
                <w:rFonts w:ascii="Arial Narrow" w:hAnsi="Arial Narrow"/>
                <w:sz w:val="20"/>
                <w:szCs w:val="18"/>
              </w:rPr>
              <w:t>v8098</w:t>
            </w:r>
          </w:p>
        </w:tc>
        <w:tc>
          <w:tcPr>
            <w:tcW w:w="2900" w:type="dxa"/>
          </w:tcPr>
          <w:p w14:paraId="050EAEB9" w14:textId="77777777" w:rsidR="00964965" w:rsidRPr="000D184D" w:rsidRDefault="00964965" w:rsidP="00C844C2">
            <w:pPr>
              <w:jc w:val="both"/>
              <w:rPr>
                <w:rFonts w:ascii="Arial Narrow" w:hAnsi="Arial Narrow"/>
                <w:sz w:val="20"/>
                <w:szCs w:val="18"/>
              </w:rPr>
            </w:pPr>
            <w:r w:rsidRPr="000D184D">
              <w:rPr>
                <w:rFonts w:ascii="Arial Narrow" w:hAnsi="Arial Narrow"/>
                <w:sz w:val="20"/>
                <w:szCs w:val="18"/>
              </w:rPr>
              <w:t>17.TOTAL – PRODUCCIÓN Ambiental: Valor ($)/año</w:t>
            </w:r>
          </w:p>
        </w:tc>
      </w:tr>
      <w:tr w:rsidR="00964965" w14:paraId="044659AF" w14:textId="77777777" w:rsidTr="00C844C2">
        <w:tc>
          <w:tcPr>
            <w:tcW w:w="985" w:type="dxa"/>
          </w:tcPr>
          <w:p w14:paraId="17AD3E57" w14:textId="77777777" w:rsidR="00964965" w:rsidRDefault="00964965" w:rsidP="00C844C2">
            <w:pPr>
              <w:jc w:val="both"/>
              <w:rPr>
                <w:rFonts w:ascii="Arial Narrow" w:hAnsi="Arial Narrow"/>
                <w:sz w:val="20"/>
                <w:szCs w:val="18"/>
              </w:rPr>
            </w:pPr>
            <w:r w:rsidRPr="000D184D">
              <w:rPr>
                <w:rFonts w:ascii="Arial Narrow" w:hAnsi="Arial Narrow"/>
                <w:sz w:val="20"/>
                <w:szCs w:val="18"/>
              </w:rPr>
              <w:t>v8099</w:t>
            </w:r>
          </w:p>
        </w:tc>
        <w:tc>
          <w:tcPr>
            <w:tcW w:w="2900" w:type="dxa"/>
          </w:tcPr>
          <w:p w14:paraId="6C3D3C7C" w14:textId="77777777" w:rsidR="00964965" w:rsidRPr="000D184D" w:rsidRDefault="00964965" w:rsidP="00C844C2">
            <w:pPr>
              <w:jc w:val="both"/>
              <w:rPr>
                <w:rFonts w:ascii="Arial Narrow" w:hAnsi="Arial Narrow"/>
                <w:sz w:val="20"/>
                <w:szCs w:val="18"/>
              </w:rPr>
            </w:pPr>
            <w:r w:rsidRPr="000D184D">
              <w:rPr>
                <w:rFonts w:ascii="Arial Narrow" w:hAnsi="Arial Narrow"/>
                <w:sz w:val="20"/>
                <w:szCs w:val="18"/>
              </w:rPr>
              <w:t>17.TOTAL – INVERSIÓN Ambiental: Valor ($)/año</w:t>
            </w:r>
          </w:p>
        </w:tc>
      </w:tr>
      <w:tr w:rsidR="00964965" w14:paraId="1EB85128" w14:textId="77777777" w:rsidTr="00C844C2">
        <w:tc>
          <w:tcPr>
            <w:tcW w:w="985" w:type="dxa"/>
          </w:tcPr>
          <w:p w14:paraId="19EB5323" w14:textId="77777777" w:rsidR="00964965" w:rsidRDefault="00964965" w:rsidP="00C844C2">
            <w:pPr>
              <w:jc w:val="both"/>
              <w:rPr>
                <w:rFonts w:ascii="Arial Narrow" w:hAnsi="Arial Narrow"/>
                <w:sz w:val="20"/>
                <w:szCs w:val="18"/>
              </w:rPr>
            </w:pPr>
            <w:r w:rsidRPr="000D184D">
              <w:rPr>
                <w:rFonts w:ascii="Arial Narrow" w:hAnsi="Arial Narrow"/>
                <w:sz w:val="20"/>
                <w:szCs w:val="18"/>
              </w:rPr>
              <w:t>v8100</w:t>
            </w:r>
          </w:p>
        </w:tc>
        <w:tc>
          <w:tcPr>
            <w:tcW w:w="2900" w:type="dxa"/>
          </w:tcPr>
          <w:p w14:paraId="73E120E8" w14:textId="77777777" w:rsidR="00964965" w:rsidRPr="000D184D" w:rsidRDefault="00964965" w:rsidP="00C844C2">
            <w:pPr>
              <w:jc w:val="both"/>
              <w:rPr>
                <w:rFonts w:ascii="Arial Narrow" w:hAnsi="Arial Narrow"/>
                <w:sz w:val="20"/>
                <w:szCs w:val="18"/>
              </w:rPr>
            </w:pPr>
            <w:r w:rsidRPr="000D184D">
              <w:rPr>
                <w:rFonts w:ascii="Arial Narrow" w:hAnsi="Arial Narrow"/>
                <w:sz w:val="20"/>
                <w:szCs w:val="18"/>
              </w:rPr>
              <w:t>17.TOTAL - GASTOS CORRIENTES Ambientales: Valor ($)/año</w:t>
            </w:r>
          </w:p>
        </w:tc>
      </w:tr>
      <w:tr w:rsidR="00964965" w14:paraId="3BD9A799" w14:textId="77777777" w:rsidTr="00C844C2">
        <w:tc>
          <w:tcPr>
            <w:tcW w:w="985" w:type="dxa"/>
          </w:tcPr>
          <w:p w14:paraId="200E1C29" w14:textId="77777777" w:rsidR="00964965" w:rsidRDefault="00964965" w:rsidP="00C844C2">
            <w:pPr>
              <w:jc w:val="both"/>
              <w:rPr>
                <w:rFonts w:ascii="Arial Narrow" w:hAnsi="Arial Narrow"/>
                <w:sz w:val="20"/>
                <w:szCs w:val="18"/>
              </w:rPr>
            </w:pPr>
            <w:r w:rsidRPr="000D184D">
              <w:rPr>
                <w:rFonts w:ascii="Arial Narrow" w:hAnsi="Arial Narrow"/>
                <w:sz w:val="20"/>
                <w:szCs w:val="18"/>
              </w:rPr>
              <w:t>v9001</w:t>
            </w:r>
          </w:p>
        </w:tc>
        <w:tc>
          <w:tcPr>
            <w:tcW w:w="2900" w:type="dxa"/>
          </w:tcPr>
          <w:p w14:paraId="585B2650" w14:textId="55278C49" w:rsidR="00964965" w:rsidRPr="000D184D" w:rsidRDefault="00964965" w:rsidP="00C844C2">
            <w:pPr>
              <w:jc w:val="both"/>
              <w:rPr>
                <w:rFonts w:ascii="Arial Narrow" w:hAnsi="Arial Narrow"/>
                <w:sz w:val="20"/>
                <w:szCs w:val="18"/>
              </w:rPr>
            </w:pPr>
            <w:r w:rsidRPr="000D184D">
              <w:rPr>
                <w:rFonts w:ascii="Arial Narrow" w:hAnsi="Arial Narrow"/>
                <w:sz w:val="20"/>
                <w:szCs w:val="18"/>
              </w:rPr>
              <w:t xml:space="preserve">1. Registrar información sobre la Energía Eléctrica comprada a la red pública (área administrativa + </w:t>
            </w:r>
            <w:r w:rsidRPr="000D184D">
              <w:rPr>
                <w:rFonts w:ascii="Arial Narrow" w:hAnsi="Arial Narrow"/>
                <w:sz w:val="20"/>
                <w:szCs w:val="18"/>
              </w:rPr>
              <w:lastRenderedPageBreak/>
              <w:t>productiva) en el año 20</w:t>
            </w:r>
            <w:r w:rsidR="00766814">
              <w:rPr>
                <w:rFonts w:ascii="Arial Narrow" w:hAnsi="Arial Narrow"/>
                <w:sz w:val="20"/>
                <w:szCs w:val="18"/>
              </w:rPr>
              <w:t>20</w:t>
            </w:r>
            <w:r w:rsidRPr="000D184D">
              <w:rPr>
                <w:rFonts w:ascii="Arial Narrow" w:hAnsi="Arial Narrow"/>
                <w:sz w:val="20"/>
                <w:szCs w:val="18"/>
              </w:rPr>
              <w:t xml:space="preserve"> : - Cantidad /año</w:t>
            </w:r>
          </w:p>
        </w:tc>
      </w:tr>
      <w:tr w:rsidR="00964965" w14:paraId="3F623369" w14:textId="77777777" w:rsidTr="00C844C2">
        <w:tc>
          <w:tcPr>
            <w:tcW w:w="985" w:type="dxa"/>
          </w:tcPr>
          <w:p w14:paraId="27FF7EF0" w14:textId="77777777" w:rsidR="00964965" w:rsidRDefault="00964965" w:rsidP="00C844C2">
            <w:pPr>
              <w:jc w:val="both"/>
              <w:rPr>
                <w:rFonts w:ascii="Arial Narrow" w:hAnsi="Arial Narrow"/>
                <w:sz w:val="20"/>
                <w:szCs w:val="18"/>
              </w:rPr>
            </w:pPr>
            <w:r w:rsidRPr="000D184D">
              <w:rPr>
                <w:rFonts w:ascii="Arial Narrow" w:hAnsi="Arial Narrow"/>
                <w:sz w:val="20"/>
                <w:szCs w:val="18"/>
              </w:rPr>
              <w:lastRenderedPageBreak/>
              <w:t>v9002</w:t>
            </w:r>
          </w:p>
        </w:tc>
        <w:tc>
          <w:tcPr>
            <w:tcW w:w="2900" w:type="dxa"/>
          </w:tcPr>
          <w:p w14:paraId="0FB57550" w14:textId="57BAB081" w:rsidR="00964965" w:rsidRPr="000D184D" w:rsidRDefault="00964965" w:rsidP="00C844C2">
            <w:pPr>
              <w:jc w:val="both"/>
              <w:rPr>
                <w:rFonts w:ascii="Arial Narrow" w:hAnsi="Arial Narrow"/>
                <w:sz w:val="20"/>
                <w:szCs w:val="18"/>
              </w:rPr>
            </w:pPr>
            <w:r w:rsidRPr="000D184D">
              <w:rPr>
                <w:rFonts w:ascii="Arial Narrow" w:hAnsi="Arial Narrow"/>
                <w:sz w:val="20"/>
                <w:szCs w:val="18"/>
              </w:rPr>
              <w:t>1. Registrar información sobre la Energía Eléctrica comprada a la red pública (área administrativa + productiva) en el año 20</w:t>
            </w:r>
            <w:r w:rsidR="00766814">
              <w:rPr>
                <w:rFonts w:ascii="Arial Narrow" w:hAnsi="Arial Narrow"/>
                <w:sz w:val="20"/>
                <w:szCs w:val="18"/>
              </w:rPr>
              <w:t>20</w:t>
            </w:r>
            <w:r w:rsidRPr="000D184D">
              <w:rPr>
                <w:rFonts w:ascii="Arial Narrow" w:hAnsi="Arial Narrow"/>
                <w:sz w:val="20"/>
                <w:szCs w:val="18"/>
              </w:rPr>
              <w:t xml:space="preserve"> : - Valor USD</w:t>
            </w:r>
          </w:p>
        </w:tc>
      </w:tr>
      <w:tr w:rsidR="00964965" w14:paraId="68FDD85D" w14:textId="77777777" w:rsidTr="00C844C2">
        <w:tc>
          <w:tcPr>
            <w:tcW w:w="985" w:type="dxa"/>
          </w:tcPr>
          <w:p w14:paraId="355B2993" w14:textId="77777777" w:rsidR="00964965" w:rsidRDefault="00964965" w:rsidP="00C844C2">
            <w:pPr>
              <w:jc w:val="both"/>
              <w:rPr>
                <w:rFonts w:ascii="Arial Narrow" w:hAnsi="Arial Narrow"/>
                <w:sz w:val="20"/>
                <w:szCs w:val="18"/>
              </w:rPr>
            </w:pPr>
            <w:r w:rsidRPr="000D184D">
              <w:rPr>
                <w:rFonts w:ascii="Arial Narrow" w:hAnsi="Arial Narrow"/>
                <w:sz w:val="20"/>
                <w:szCs w:val="18"/>
              </w:rPr>
              <w:t>v10000</w:t>
            </w:r>
          </w:p>
        </w:tc>
        <w:tc>
          <w:tcPr>
            <w:tcW w:w="2900" w:type="dxa"/>
          </w:tcPr>
          <w:p w14:paraId="0556AB7F" w14:textId="1489D3E2" w:rsidR="00964965" w:rsidRPr="000D184D" w:rsidRDefault="00964965" w:rsidP="00C844C2">
            <w:pPr>
              <w:jc w:val="both"/>
              <w:rPr>
                <w:rFonts w:ascii="Arial Narrow" w:hAnsi="Arial Narrow"/>
                <w:sz w:val="20"/>
                <w:szCs w:val="18"/>
              </w:rPr>
            </w:pPr>
            <w:r>
              <w:rPr>
                <w:rFonts w:ascii="Arial Narrow" w:hAnsi="Arial Narrow"/>
                <w:sz w:val="20"/>
                <w:szCs w:val="18"/>
              </w:rPr>
              <w:t xml:space="preserve">1. </w:t>
            </w:r>
            <w:r w:rsidRPr="000D184D">
              <w:rPr>
                <w:rFonts w:ascii="Arial Narrow" w:hAnsi="Arial Narrow"/>
                <w:sz w:val="20"/>
                <w:szCs w:val="18"/>
              </w:rPr>
              <w:t>Registrar información sobre agua comprada de Red Pública (área administrativa + productiva) en el año 20</w:t>
            </w:r>
            <w:r w:rsidR="00766814">
              <w:rPr>
                <w:rFonts w:ascii="Arial Narrow" w:hAnsi="Arial Narrow"/>
                <w:sz w:val="20"/>
                <w:szCs w:val="18"/>
              </w:rPr>
              <w:t>20</w:t>
            </w:r>
            <w:r w:rsidRPr="000D184D">
              <w:rPr>
                <w:rFonts w:ascii="Arial Narrow" w:hAnsi="Arial Narrow"/>
                <w:sz w:val="20"/>
                <w:szCs w:val="18"/>
              </w:rPr>
              <w:t xml:space="preserve"> - Cantidad</w:t>
            </w:r>
          </w:p>
        </w:tc>
      </w:tr>
      <w:tr w:rsidR="00964965" w14:paraId="5E62C2A8" w14:textId="77777777" w:rsidTr="00C844C2">
        <w:tc>
          <w:tcPr>
            <w:tcW w:w="985" w:type="dxa"/>
          </w:tcPr>
          <w:p w14:paraId="6D624E96" w14:textId="77777777" w:rsidR="00964965" w:rsidRDefault="00964965" w:rsidP="00C844C2">
            <w:pPr>
              <w:jc w:val="both"/>
              <w:rPr>
                <w:rFonts w:ascii="Arial Narrow" w:hAnsi="Arial Narrow"/>
                <w:sz w:val="20"/>
                <w:szCs w:val="18"/>
              </w:rPr>
            </w:pPr>
            <w:r w:rsidRPr="000D184D">
              <w:rPr>
                <w:rFonts w:ascii="Arial Narrow" w:hAnsi="Arial Narrow"/>
                <w:sz w:val="20"/>
                <w:szCs w:val="18"/>
              </w:rPr>
              <w:t>v10001</w:t>
            </w:r>
          </w:p>
        </w:tc>
        <w:tc>
          <w:tcPr>
            <w:tcW w:w="2900" w:type="dxa"/>
          </w:tcPr>
          <w:p w14:paraId="6F6DB26C" w14:textId="24B1D3B6" w:rsidR="00964965" w:rsidRPr="000D184D" w:rsidRDefault="00964965" w:rsidP="00C844C2">
            <w:pPr>
              <w:jc w:val="both"/>
              <w:rPr>
                <w:rFonts w:ascii="Arial Narrow" w:hAnsi="Arial Narrow"/>
                <w:sz w:val="20"/>
                <w:szCs w:val="18"/>
              </w:rPr>
            </w:pPr>
            <w:r>
              <w:rPr>
                <w:rFonts w:ascii="Arial Narrow" w:hAnsi="Arial Narrow"/>
                <w:sz w:val="20"/>
                <w:szCs w:val="18"/>
              </w:rPr>
              <w:t xml:space="preserve">1. </w:t>
            </w:r>
            <w:r w:rsidRPr="000D184D">
              <w:rPr>
                <w:rFonts w:ascii="Arial Narrow" w:hAnsi="Arial Narrow"/>
                <w:sz w:val="20"/>
                <w:szCs w:val="18"/>
              </w:rPr>
              <w:t>Registrar información sobre agua comprada de Red Pública (área administrativa + productiva) en el año 20</w:t>
            </w:r>
            <w:r w:rsidR="00766814">
              <w:rPr>
                <w:rFonts w:ascii="Arial Narrow" w:hAnsi="Arial Narrow"/>
                <w:sz w:val="20"/>
                <w:szCs w:val="18"/>
              </w:rPr>
              <w:t>20</w:t>
            </w:r>
            <w:r w:rsidRPr="000D184D">
              <w:rPr>
                <w:rFonts w:ascii="Arial Narrow" w:hAnsi="Arial Narrow"/>
                <w:sz w:val="20"/>
                <w:szCs w:val="18"/>
              </w:rPr>
              <w:t xml:space="preserve"> - Valor USD</w:t>
            </w:r>
          </w:p>
        </w:tc>
      </w:tr>
    </w:tbl>
    <w:p w14:paraId="0DD296C1" w14:textId="77777777" w:rsidR="00964965" w:rsidRPr="00646F55" w:rsidRDefault="00964965" w:rsidP="00964965">
      <w:pPr>
        <w:jc w:val="both"/>
        <w:rPr>
          <w:rFonts w:ascii="Century Gothic" w:hAnsi="Century Gothic" w:cs="Calibri"/>
          <w:b/>
          <w:color w:val="404040" w:themeColor="text1" w:themeTint="BF"/>
          <w:sz w:val="14"/>
          <w:szCs w:val="14"/>
        </w:rPr>
      </w:pPr>
    </w:p>
    <w:p w14:paraId="62EE16EB" w14:textId="5FE65818" w:rsidR="00964965" w:rsidRDefault="00964965" w:rsidP="00964965">
      <w:pPr>
        <w:jc w:val="both"/>
        <w:rPr>
          <w:rFonts w:ascii="Century Gothic" w:hAnsi="Century Gothic" w:cs="Calibri"/>
          <w:sz w:val="14"/>
          <w:szCs w:val="14"/>
        </w:rPr>
      </w:pPr>
      <w:r w:rsidRPr="00646F55">
        <w:rPr>
          <w:rFonts w:ascii="Century Gothic" w:hAnsi="Century Gothic" w:cs="Calibri"/>
          <w:b/>
          <w:sz w:val="14"/>
          <w:szCs w:val="14"/>
        </w:rPr>
        <w:t>Fuente:</w:t>
      </w:r>
      <w:r w:rsidRPr="00646F55">
        <w:rPr>
          <w:rFonts w:ascii="Century Gothic" w:hAnsi="Century Gothic" w:cs="Calibri"/>
          <w:sz w:val="14"/>
          <w:szCs w:val="14"/>
        </w:rPr>
        <w:t xml:space="preserve"> Módulo Ambiental ENESEM </w:t>
      </w:r>
      <w:r w:rsidR="00D330B6">
        <w:rPr>
          <w:rFonts w:ascii="Century Gothic" w:hAnsi="Century Gothic" w:cs="Calibri"/>
          <w:sz w:val="14"/>
          <w:szCs w:val="14"/>
        </w:rPr>
        <w:t>2020</w:t>
      </w:r>
      <w:r w:rsidRPr="00646F55">
        <w:rPr>
          <w:rFonts w:ascii="Century Gothic" w:hAnsi="Century Gothic" w:cs="Calibri"/>
          <w:sz w:val="14"/>
          <w:szCs w:val="14"/>
        </w:rPr>
        <w:t>.</w:t>
      </w:r>
    </w:p>
    <w:p w14:paraId="62F22709" w14:textId="77777777" w:rsidR="00964965" w:rsidRDefault="00964965" w:rsidP="00964965">
      <w:pPr>
        <w:jc w:val="both"/>
        <w:rPr>
          <w:rFonts w:ascii="Century Gothic" w:eastAsia="Times New Roman" w:hAnsi="Century Gothic" w:cs="Open Sans"/>
          <w:sz w:val="21"/>
          <w:szCs w:val="21"/>
          <w:lang w:eastAsia="es-ES_tradnl"/>
        </w:rPr>
      </w:pPr>
    </w:p>
    <w:p w14:paraId="7ED07329" w14:textId="2D443A2F"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Las 1</w:t>
      </w:r>
      <w:r w:rsidR="00343D58">
        <w:rPr>
          <w:rFonts w:ascii="Century Gothic" w:eastAsia="Times New Roman" w:hAnsi="Century Gothic" w:cs="Open Sans"/>
          <w:sz w:val="21"/>
          <w:szCs w:val="21"/>
          <w:lang w:eastAsia="es-ES_tradnl"/>
        </w:rPr>
        <w:t>,294</w:t>
      </w:r>
      <w:r>
        <w:rPr>
          <w:rFonts w:ascii="Century Gothic" w:eastAsia="Times New Roman" w:hAnsi="Century Gothic" w:cs="Open Sans"/>
          <w:sz w:val="21"/>
          <w:szCs w:val="21"/>
          <w:lang w:eastAsia="es-ES_tradnl"/>
        </w:rPr>
        <w:t xml:space="preserve"> </w:t>
      </w:r>
      <w:r w:rsidRPr="00BE4C1B">
        <w:rPr>
          <w:rFonts w:ascii="Century Gothic" w:eastAsia="Times New Roman" w:hAnsi="Century Gothic" w:cs="Open Sans"/>
          <w:i/>
          <w:sz w:val="21"/>
          <w:szCs w:val="21"/>
          <w:lang w:eastAsia="es-ES_tradnl"/>
        </w:rPr>
        <w:t>variables de investigación o temáticas</w:t>
      </w:r>
      <w:r>
        <w:rPr>
          <w:rFonts w:ascii="Century Gothic" w:eastAsia="Times New Roman" w:hAnsi="Century Gothic" w:cs="Open Sans"/>
          <w:sz w:val="21"/>
          <w:szCs w:val="21"/>
          <w:lang w:eastAsia="es-ES_tradnl"/>
        </w:rPr>
        <w:t xml:space="preserve"> son las que tienen una correspondencia “1 a 1” con cada pregunta e inciso del instrumento de recolección de información en campo (formulario). A pesar de que todas las variables vienen con sus respectivas etiquetas de variable (descripción) y de valores (categorías, en las variables de este tipo), esto no le exime al usuario/analista de familiarizarse con el formulario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antes de procesar la BDD del MA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Además, se recomienda procesar la BDD mencionada con este formulario a la mano. De esta manera, se podrá saber exactamente qué variables ingresar en la sintaxis o en los menúes y comandos de la plataforma de procesamiento estadístico para obtener</w:t>
      </w:r>
      <w:r w:rsidRPr="00BE4C1B">
        <w:rPr>
          <w:rFonts w:ascii="Century Gothic" w:eastAsia="Times New Roman" w:hAnsi="Century Gothic" w:cs="Open Sans"/>
          <w:sz w:val="20"/>
          <w:szCs w:val="21"/>
          <w:lang w:eastAsia="es-ES_tradnl"/>
        </w:rPr>
        <w:t xml:space="preserve"> </w:t>
      </w:r>
      <w:r>
        <w:rPr>
          <w:rFonts w:ascii="Century Gothic" w:eastAsia="Times New Roman" w:hAnsi="Century Gothic" w:cs="Open Sans"/>
          <w:sz w:val="21"/>
          <w:szCs w:val="21"/>
          <w:lang w:eastAsia="es-ES_tradnl"/>
        </w:rPr>
        <w:t>los</w:t>
      </w:r>
      <w:r w:rsidRPr="00BE4C1B">
        <w:rPr>
          <w:rFonts w:ascii="Century Gothic" w:eastAsia="Times New Roman" w:hAnsi="Century Gothic" w:cs="Open Sans"/>
          <w:sz w:val="20"/>
          <w:szCs w:val="21"/>
          <w:lang w:eastAsia="es-ES_tradnl"/>
        </w:rPr>
        <w:t xml:space="preserve"> </w:t>
      </w:r>
      <w:r>
        <w:rPr>
          <w:rFonts w:ascii="Century Gothic" w:eastAsia="Times New Roman" w:hAnsi="Century Gothic" w:cs="Open Sans"/>
          <w:sz w:val="21"/>
          <w:szCs w:val="21"/>
          <w:lang w:eastAsia="es-ES_tradnl"/>
        </w:rPr>
        <w:t>estimadores poblacionales esperados.</w:t>
      </w:r>
    </w:p>
    <w:p w14:paraId="1DDEE581" w14:textId="77777777" w:rsidR="00964965" w:rsidRDefault="00964965" w:rsidP="00964965">
      <w:pPr>
        <w:jc w:val="both"/>
        <w:rPr>
          <w:rFonts w:ascii="Century Gothic" w:eastAsia="Times New Roman" w:hAnsi="Century Gothic" w:cs="Open Sans"/>
          <w:sz w:val="21"/>
          <w:szCs w:val="21"/>
          <w:lang w:eastAsia="es-ES_tradnl"/>
        </w:rPr>
      </w:pPr>
    </w:p>
    <w:p w14:paraId="0B175837" w14:textId="57E0E157"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Es importante notar que todas las variables temáticas son de la forma “</w:t>
      </w:r>
      <w:r w:rsidRPr="00FF3B99">
        <w:rPr>
          <w:rFonts w:ascii="Century Gothic" w:eastAsia="Times New Roman" w:hAnsi="Century Gothic" w:cs="Open Sans"/>
          <w:b/>
          <w:sz w:val="21"/>
          <w:szCs w:val="21"/>
          <w:lang w:eastAsia="es-ES_tradnl"/>
        </w:rPr>
        <w:t>vXnnn</w:t>
      </w:r>
      <w:r>
        <w:rPr>
          <w:rFonts w:ascii="Century Gothic" w:eastAsia="Times New Roman" w:hAnsi="Century Gothic" w:cs="Open Sans"/>
          <w:sz w:val="21"/>
          <w:szCs w:val="21"/>
          <w:lang w:eastAsia="es-ES_tradnl"/>
        </w:rPr>
        <w:t>”, donde “</w:t>
      </w:r>
      <w:r w:rsidRPr="00FF3B99">
        <w:rPr>
          <w:rFonts w:ascii="Century Gothic" w:eastAsia="Times New Roman" w:hAnsi="Century Gothic" w:cs="Open Sans"/>
          <w:b/>
          <w:sz w:val="21"/>
          <w:szCs w:val="21"/>
          <w:lang w:eastAsia="es-ES_tradnl"/>
        </w:rPr>
        <w:t>X</w:t>
      </w:r>
      <w:r>
        <w:rPr>
          <w:rFonts w:ascii="Century Gothic" w:eastAsia="Times New Roman" w:hAnsi="Century Gothic" w:cs="Open Sans"/>
          <w:sz w:val="21"/>
          <w:szCs w:val="21"/>
          <w:lang w:eastAsia="es-ES_tradnl"/>
        </w:rPr>
        <w:t xml:space="preserve">” representa el número del capítulo del MA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(7 = Gestión</w:t>
      </w:r>
      <w:r w:rsidR="00343D58">
        <w:rPr>
          <w:rFonts w:ascii="Century Gothic" w:eastAsia="Times New Roman" w:hAnsi="Century Gothic" w:cs="Open Sans"/>
          <w:sz w:val="21"/>
          <w:szCs w:val="21"/>
          <w:lang w:eastAsia="es-ES_tradnl"/>
        </w:rPr>
        <w:t xml:space="preserve"> </w:t>
      </w:r>
      <w:r>
        <w:rPr>
          <w:rFonts w:ascii="Century Gothic" w:eastAsia="Times New Roman" w:hAnsi="Century Gothic" w:cs="Open Sans"/>
          <w:sz w:val="21"/>
          <w:szCs w:val="21"/>
          <w:lang w:eastAsia="es-ES_tradnl"/>
        </w:rPr>
        <w:t xml:space="preserve">ambiental;  </w:t>
      </w:r>
      <w:r w:rsidR="00343D58">
        <w:rPr>
          <w:rFonts w:ascii="Century Gothic" w:eastAsia="Times New Roman" w:hAnsi="Century Gothic" w:cs="Open Sans"/>
          <w:sz w:val="21"/>
          <w:szCs w:val="21"/>
          <w:lang w:eastAsia="es-ES_tradnl"/>
        </w:rPr>
        <w:t xml:space="preserve"> </w:t>
      </w:r>
      <w:r>
        <w:rPr>
          <w:rFonts w:ascii="Century Gothic" w:eastAsia="Times New Roman" w:hAnsi="Century Gothic" w:cs="Open Sans"/>
          <w:sz w:val="21"/>
          <w:szCs w:val="21"/>
          <w:lang w:eastAsia="es-ES_tradnl"/>
        </w:rPr>
        <w:t xml:space="preserve">8 = Oferta y utilización de bienes y servicios ambientales; 9 = Energía, combustibles y lubricantes; 10 = Agua, </w:t>
      </w:r>
      <w:r>
        <w:rPr>
          <w:rFonts w:ascii="Century Gothic" w:eastAsia="Times New Roman" w:hAnsi="Century Gothic" w:cs="Open Sans"/>
          <w:sz w:val="21"/>
          <w:szCs w:val="21"/>
          <w:lang w:eastAsia="es-ES_tradnl"/>
        </w:rPr>
        <w:lastRenderedPageBreak/>
        <w:t>manejo de aguas residuales y otros residuos), y “</w:t>
      </w:r>
      <w:r w:rsidRPr="00FF3B99">
        <w:rPr>
          <w:rFonts w:ascii="Century Gothic" w:eastAsia="Times New Roman" w:hAnsi="Century Gothic" w:cs="Open Sans"/>
          <w:b/>
          <w:sz w:val="21"/>
          <w:szCs w:val="21"/>
          <w:lang w:eastAsia="es-ES_tradnl"/>
        </w:rPr>
        <w:t>nnn</w:t>
      </w:r>
      <w:r>
        <w:rPr>
          <w:rFonts w:ascii="Century Gothic" w:eastAsia="Times New Roman" w:hAnsi="Century Gothic" w:cs="Open Sans"/>
          <w:sz w:val="21"/>
          <w:szCs w:val="21"/>
          <w:lang w:eastAsia="es-ES_tradnl"/>
        </w:rPr>
        <w:t>” representa un número entero que va desde “</w:t>
      </w:r>
      <w:r w:rsidRPr="00FF3B99">
        <w:rPr>
          <w:rFonts w:ascii="Century Gothic" w:eastAsia="Times New Roman" w:hAnsi="Century Gothic" w:cs="Open Sans"/>
          <w:b/>
          <w:sz w:val="21"/>
          <w:szCs w:val="21"/>
          <w:lang w:eastAsia="es-ES_tradnl"/>
        </w:rPr>
        <w:t>000</w:t>
      </w:r>
      <w:r>
        <w:rPr>
          <w:rFonts w:ascii="Century Gothic" w:eastAsia="Times New Roman" w:hAnsi="Century Gothic" w:cs="Open Sans"/>
          <w:sz w:val="21"/>
          <w:szCs w:val="21"/>
          <w:lang w:eastAsia="es-ES_tradnl"/>
        </w:rPr>
        <w:t>” y aumenta en forma consecutiva de uno en uno. Así, “</w:t>
      </w:r>
      <w:r w:rsidRPr="003E441F">
        <w:rPr>
          <w:rFonts w:ascii="Century Gothic" w:eastAsia="Times New Roman" w:hAnsi="Century Gothic" w:cs="Open Sans"/>
          <w:b/>
          <w:sz w:val="21"/>
          <w:szCs w:val="21"/>
          <w:lang w:eastAsia="es-ES_tradnl"/>
        </w:rPr>
        <w:t>v10000</w:t>
      </w:r>
      <w:r>
        <w:rPr>
          <w:rFonts w:ascii="Century Gothic" w:eastAsia="Times New Roman" w:hAnsi="Century Gothic" w:cs="Open Sans"/>
          <w:sz w:val="21"/>
          <w:szCs w:val="21"/>
          <w:lang w:eastAsia="es-ES_tradnl"/>
        </w:rPr>
        <w:t>” debe ser una variable del capítulo 10, “</w:t>
      </w:r>
      <w:r w:rsidRPr="003E441F">
        <w:rPr>
          <w:rFonts w:ascii="Century Gothic" w:eastAsia="Times New Roman" w:hAnsi="Century Gothic" w:cs="Open Sans"/>
          <w:b/>
          <w:sz w:val="21"/>
          <w:szCs w:val="21"/>
          <w:lang w:eastAsia="es-ES_tradnl"/>
        </w:rPr>
        <w:t>v7002</w:t>
      </w:r>
      <w:r>
        <w:rPr>
          <w:rFonts w:ascii="Century Gothic" w:eastAsia="Times New Roman" w:hAnsi="Century Gothic" w:cs="Open Sans"/>
          <w:sz w:val="21"/>
          <w:szCs w:val="21"/>
          <w:lang w:eastAsia="es-ES_tradnl"/>
        </w:rPr>
        <w:t>” una variable del capítulo 7, etc.</w:t>
      </w:r>
    </w:p>
    <w:p w14:paraId="199FDAFF" w14:textId="77777777" w:rsidR="00964965" w:rsidRDefault="00964965" w:rsidP="00964965">
      <w:pPr>
        <w:jc w:val="both"/>
        <w:rPr>
          <w:rFonts w:ascii="Century Gothic" w:eastAsia="Times New Roman" w:hAnsi="Century Gothic" w:cs="Open Sans"/>
          <w:sz w:val="21"/>
          <w:szCs w:val="21"/>
          <w:lang w:eastAsia="es-ES_tradnl"/>
        </w:rPr>
      </w:pPr>
    </w:p>
    <w:p w14:paraId="24A13823" w14:textId="1946D4C3" w:rsidR="00964965" w:rsidRPr="00D16D5C" w:rsidRDefault="00964965" w:rsidP="00964965">
      <w:pPr>
        <w:pStyle w:val="Descripcin"/>
        <w:keepNext/>
        <w:jc w:val="both"/>
        <w:rPr>
          <w:i w:val="0"/>
        </w:rPr>
      </w:pPr>
      <w:bookmarkStart w:id="10" w:name="_Toc101364158"/>
      <w:r w:rsidRPr="00D16D5C">
        <w:rPr>
          <w:b/>
          <w:bCs/>
          <w:i w:val="0"/>
          <w:color w:val="auto"/>
          <w:sz w:val="16"/>
        </w:rPr>
        <w:t xml:space="preserve">Tabla </w:t>
      </w:r>
      <w:r w:rsidRPr="00D16D5C">
        <w:rPr>
          <w:b/>
          <w:bCs/>
          <w:i w:val="0"/>
          <w:color w:val="auto"/>
          <w:sz w:val="16"/>
        </w:rPr>
        <w:fldChar w:fldCharType="begin"/>
      </w:r>
      <w:r w:rsidRPr="00D16D5C">
        <w:rPr>
          <w:b/>
          <w:bCs/>
          <w:i w:val="0"/>
          <w:color w:val="auto"/>
          <w:sz w:val="16"/>
        </w:rPr>
        <w:instrText xml:space="preserve"> SEQ Tabla \* ARABIC </w:instrText>
      </w:r>
      <w:r w:rsidRPr="00D16D5C">
        <w:rPr>
          <w:b/>
          <w:bCs/>
          <w:i w:val="0"/>
          <w:color w:val="auto"/>
          <w:sz w:val="16"/>
        </w:rPr>
        <w:fldChar w:fldCharType="separate"/>
      </w:r>
      <w:r w:rsidRPr="00D16D5C">
        <w:rPr>
          <w:b/>
          <w:bCs/>
          <w:i w:val="0"/>
          <w:color w:val="auto"/>
          <w:sz w:val="16"/>
        </w:rPr>
        <w:t>4</w:t>
      </w:r>
      <w:r w:rsidRPr="00D16D5C">
        <w:rPr>
          <w:b/>
          <w:bCs/>
          <w:i w:val="0"/>
          <w:color w:val="auto"/>
          <w:sz w:val="16"/>
        </w:rPr>
        <w:fldChar w:fldCharType="end"/>
      </w:r>
      <w:r w:rsidRPr="00D16D5C">
        <w:rPr>
          <w:b/>
          <w:bCs/>
          <w:i w:val="0"/>
          <w:color w:val="auto"/>
          <w:sz w:val="16"/>
        </w:rPr>
        <w:t xml:space="preserve">. </w:t>
      </w:r>
      <w:r w:rsidRPr="00D16D5C">
        <w:rPr>
          <w:bCs/>
          <w:i w:val="0"/>
          <w:color w:val="auto"/>
          <w:sz w:val="16"/>
        </w:rPr>
        <w:t>Lista</w:t>
      </w:r>
      <w:r>
        <w:rPr>
          <w:rFonts w:cstheme="minorHAnsi"/>
          <w:i w:val="0"/>
          <w:color w:val="auto"/>
          <w:sz w:val="16"/>
        </w:rPr>
        <w:t xml:space="preserve"> de variables derivadas de la BDD del MA de la ENESEM </w:t>
      </w:r>
      <w:r w:rsidR="00D330B6">
        <w:rPr>
          <w:rFonts w:cstheme="minorHAnsi"/>
          <w:i w:val="0"/>
          <w:color w:val="auto"/>
          <w:sz w:val="16"/>
        </w:rPr>
        <w:t>2020</w:t>
      </w:r>
      <w:r>
        <w:rPr>
          <w:rFonts w:cstheme="minorHAnsi"/>
          <w:i w:val="0"/>
          <w:color w:val="auto"/>
          <w:sz w:val="16"/>
        </w:rPr>
        <w:t>.</w:t>
      </w:r>
      <w:bookmarkEnd w:id="10"/>
    </w:p>
    <w:tbl>
      <w:tblPr>
        <w:tblStyle w:val="Tablaconcuadrcula"/>
        <w:tblW w:w="0" w:type="auto"/>
        <w:tblLayout w:type="fixed"/>
        <w:tblLook w:val="04A0" w:firstRow="1" w:lastRow="0" w:firstColumn="1" w:lastColumn="0" w:noHBand="0" w:noVBand="1"/>
      </w:tblPr>
      <w:tblGrid>
        <w:gridCol w:w="1255"/>
        <w:gridCol w:w="2630"/>
      </w:tblGrid>
      <w:tr w:rsidR="00964965" w14:paraId="44AD9C00" w14:textId="77777777" w:rsidTr="00C844C2">
        <w:tc>
          <w:tcPr>
            <w:tcW w:w="1255" w:type="dxa"/>
            <w:shd w:val="clear" w:color="auto" w:fill="D9E2F3" w:themeFill="accent1" w:themeFillTint="33"/>
            <w:vAlign w:val="center"/>
          </w:tcPr>
          <w:p w14:paraId="57F365D7" w14:textId="77777777" w:rsidR="00964965" w:rsidRPr="001C2588" w:rsidRDefault="00964965" w:rsidP="00C844C2">
            <w:pPr>
              <w:jc w:val="both"/>
              <w:rPr>
                <w:rFonts w:ascii="Century Gothic" w:eastAsia="Times New Roman" w:hAnsi="Century Gothic" w:cs="Open Sans"/>
                <w:b/>
                <w:sz w:val="18"/>
                <w:szCs w:val="21"/>
                <w:lang w:eastAsia="es-ES_tradnl"/>
              </w:rPr>
            </w:pPr>
            <w:r w:rsidRPr="001C2588">
              <w:rPr>
                <w:rFonts w:ascii="Century Gothic" w:eastAsia="Times New Roman" w:hAnsi="Century Gothic" w:cs="Open Sans"/>
                <w:b/>
                <w:sz w:val="18"/>
                <w:szCs w:val="21"/>
                <w:lang w:eastAsia="es-ES_tradnl"/>
              </w:rPr>
              <w:t>Nombre de</w:t>
            </w:r>
            <w:r>
              <w:rPr>
                <w:rFonts w:ascii="Century Gothic" w:eastAsia="Times New Roman" w:hAnsi="Century Gothic" w:cs="Open Sans"/>
                <w:b/>
                <w:sz w:val="18"/>
                <w:szCs w:val="21"/>
                <w:lang w:eastAsia="es-ES_tradnl"/>
              </w:rPr>
              <w:t xml:space="preserve"> la</w:t>
            </w:r>
            <w:r w:rsidRPr="001C2588">
              <w:rPr>
                <w:rFonts w:ascii="Century Gothic" w:eastAsia="Times New Roman" w:hAnsi="Century Gothic" w:cs="Open Sans"/>
                <w:b/>
                <w:sz w:val="18"/>
                <w:szCs w:val="21"/>
                <w:lang w:eastAsia="es-ES_tradnl"/>
              </w:rPr>
              <w:t xml:space="preserve"> variable</w:t>
            </w:r>
          </w:p>
        </w:tc>
        <w:tc>
          <w:tcPr>
            <w:tcW w:w="2630" w:type="dxa"/>
            <w:shd w:val="clear" w:color="auto" w:fill="D9E2F3" w:themeFill="accent1" w:themeFillTint="33"/>
            <w:vAlign w:val="center"/>
          </w:tcPr>
          <w:p w14:paraId="2F96BBC1" w14:textId="77777777" w:rsidR="00964965" w:rsidRPr="001C2588" w:rsidRDefault="00964965" w:rsidP="00C844C2">
            <w:pPr>
              <w:jc w:val="both"/>
              <w:rPr>
                <w:rFonts w:ascii="Century Gothic" w:eastAsia="Times New Roman" w:hAnsi="Century Gothic" w:cs="Open Sans"/>
                <w:b/>
                <w:sz w:val="18"/>
                <w:szCs w:val="21"/>
                <w:lang w:eastAsia="es-ES_tradnl"/>
              </w:rPr>
            </w:pPr>
            <w:r w:rsidRPr="001C2588">
              <w:rPr>
                <w:rFonts w:ascii="Century Gothic" w:eastAsia="Times New Roman" w:hAnsi="Century Gothic" w:cs="Open Sans"/>
                <w:b/>
                <w:sz w:val="18"/>
                <w:szCs w:val="21"/>
                <w:lang w:eastAsia="es-ES_tradnl"/>
              </w:rPr>
              <w:t>Descripción</w:t>
            </w:r>
          </w:p>
        </w:tc>
      </w:tr>
      <w:tr w:rsidR="00964965" w14:paraId="2DC810D9" w14:textId="77777777" w:rsidTr="00C844C2">
        <w:tc>
          <w:tcPr>
            <w:tcW w:w="1255" w:type="dxa"/>
          </w:tcPr>
          <w:p w14:paraId="53469161" w14:textId="77777777" w:rsidR="00964965" w:rsidRPr="0045578C" w:rsidRDefault="00964965" w:rsidP="00C844C2">
            <w:pPr>
              <w:jc w:val="both"/>
              <w:rPr>
                <w:rFonts w:ascii="Arial Narrow" w:eastAsia="Times New Roman" w:hAnsi="Arial Narrow" w:cs="Open Sans"/>
                <w:sz w:val="20"/>
                <w:szCs w:val="18"/>
                <w:lang w:eastAsia="es-ES_tradnl"/>
              </w:rPr>
            </w:pPr>
            <w:r>
              <w:rPr>
                <w:rFonts w:ascii="Arial Narrow" w:hAnsi="Arial Narrow"/>
                <w:sz w:val="20"/>
                <w:szCs w:val="18"/>
              </w:rPr>
              <w:t>valag</w:t>
            </w:r>
          </w:p>
        </w:tc>
        <w:tc>
          <w:tcPr>
            <w:tcW w:w="2630" w:type="dxa"/>
          </w:tcPr>
          <w:p w14:paraId="554406DC" w14:textId="6B31DA54" w:rsidR="00964965" w:rsidRPr="0045578C" w:rsidRDefault="00964965" w:rsidP="00C844C2">
            <w:pPr>
              <w:jc w:val="both"/>
              <w:rPr>
                <w:rFonts w:ascii="Arial Narrow" w:eastAsia="Times New Roman" w:hAnsi="Arial Narrow" w:cs="Open Sans"/>
                <w:sz w:val="21"/>
                <w:szCs w:val="21"/>
                <w:lang w:eastAsia="es-ES_tradnl"/>
              </w:rPr>
            </w:pPr>
            <w:r>
              <w:rPr>
                <w:rFonts w:ascii="Arial Narrow" w:hAnsi="Arial Narrow"/>
                <w:sz w:val="21"/>
                <w:szCs w:val="21"/>
              </w:rPr>
              <w:t>Valor Agregado Bruto (VAB) por empresa</w:t>
            </w:r>
            <w:r w:rsidR="00343D58">
              <w:rPr>
                <w:rFonts w:ascii="Arial Narrow" w:hAnsi="Arial Narrow"/>
                <w:sz w:val="21"/>
                <w:szCs w:val="21"/>
              </w:rPr>
              <w:t xml:space="preserve"> 2020</w:t>
            </w:r>
          </w:p>
        </w:tc>
      </w:tr>
      <w:tr w:rsidR="00964965" w14:paraId="5C9600B7" w14:textId="77777777" w:rsidTr="00C844C2">
        <w:tc>
          <w:tcPr>
            <w:tcW w:w="1255" w:type="dxa"/>
          </w:tcPr>
          <w:p w14:paraId="6F3B1006" w14:textId="77777777" w:rsidR="00964965" w:rsidRPr="0045578C" w:rsidRDefault="00964965" w:rsidP="00C844C2">
            <w:pPr>
              <w:jc w:val="both"/>
              <w:rPr>
                <w:rFonts w:ascii="Arial Narrow" w:eastAsia="Times New Roman" w:hAnsi="Arial Narrow" w:cs="Open Sans"/>
                <w:sz w:val="20"/>
                <w:szCs w:val="18"/>
                <w:lang w:eastAsia="es-ES_tradnl"/>
              </w:rPr>
            </w:pPr>
            <w:r>
              <w:rPr>
                <w:rFonts w:ascii="Arial Narrow" w:eastAsia="Times New Roman" w:hAnsi="Arial Narrow" w:cs="Open Sans"/>
                <w:sz w:val="20"/>
                <w:szCs w:val="18"/>
                <w:lang w:eastAsia="es-ES_tradnl"/>
              </w:rPr>
              <w:t>W</w:t>
            </w:r>
          </w:p>
        </w:tc>
        <w:tc>
          <w:tcPr>
            <w:tcW w:w="2630" w:type="dxa"/>
          </w:tcPr>
          <w:p w14:paraId="47E2A30D" w14:textId="562F8D53" w:rsidR="00964965" w:rsidRPr="0045578C" w:rsidRDefault="00964965" w:rsidP="00C844C2">
            <w:pPr>
              <w:jc w:val="both"/>
              <w:rPr>
                <w:rFonts w:ascii="Arial Narrow" w:eastAsia="Times New Roman" w:hAnsi="Arial Narrow" w:cs="Open Sans"/>
                <w:sz w:val="21"/>
                <w:szCs w:val="21"/>
                <w:lang w:eastAsia="es-ES_tradnl"/>
              </w:rPr>
            </w:pPr>
            <w:r>
              <w:rPr>
                <w:rFonts w:ascii="Arial Narrow" w:eastAsia="Times New Roman" w:hAnsi="Arial Narrow" w:cs="Open Sans"/>
                <w:sz w:val="21"/>
                <w:szCs w:val="21"/>
                <w:lang w:eastAsia="es-ES_tradnl"/>
              </w:rPr>
              <w:t>Impacto ambiental agregado</w:t>
            </w:r>
            <w:r w:rsidR="00343D58">
              <w:rPr>
                <w:rFonts w:ascii="Arial Narrow" w:eastAsia="Times New Roman" w:hAnsi="Arial Narrow" w:cs="Open Sans"/>
                <w:sz w:val="21"/>
                <w:szCs w:val="21"/>
                <w:lang w:eastAsia="es-ES_tradnl"/>
              </w:rPr>
              <w:t xml:space="preserve"> por empresa</w:t>
            </w:r>
            <w:r>
              <w:rPr>
                <w:rFonts w:ascii="Arial Narrow" w:eastAsia="Times New Roman" w:hAnsi="Arial Narrow" w:cs="Open Sans"/>
                <w:sz w:val="21"/>
                <w:szCs w:val="21"/>
                <w:lang w:eastAsia="es-ES_tradnl"/>
              </w:rPr>
              <w:t xml:space="preserve"> – Módulo Ambiental ENESEM </w:t>
            </w:r>
            <w:r w:rsidR="00D330B6">
              <w:rPr>
                <w:rFonts w:ascii="Arial Narrow" w:eastAsia="Times New Roman" w:hAnsi="Arial Narrow" w:cs="Open Sans"/>
                <w:sz w:val="21"/>
                <w:szCs w:val="21"/>
                <w:lang w:eastAsia="es-ES_tradnl"/>
              </w:rPr>
              <w:t>2020</w:t>
            </w:r>
          </w:p>
        </w:tc>
      </w:tr>
    </w:tbl>
    <w:p w14:paraId="01A641E7" w14:textId="77777777" w:rsidR="00964965" w:rsidRPr="00646F55" w:rsidRDefault="00964965" w:rsidP="00964965">
      <w:pPr>
        <w:jc w:val="both"/>
        <w:rPr>
          <w:rFonts w:ascii="Century Gothic" w:hAnsi="Century Gothic" w:cs="Calibri"/>
          <w:b/>
          <w:color w:val="404040" w:themeColor="text1" w:themeTint="BF"/>
          <w:sz w:val="14"/>
          <w:szCs w:val="14"/>
        </w:rPr>
      </w:pPr>
    </w:p>
    <w:p w14:paraId="623AF117" w14:textId="1253601A" w:rsidR="00964965" w:rsidRDefault="00964965" w:rsidP="00964965">
      <w:pPr>
        <w:jc w:val="both"/>
        <w:rPr>
          <w:rFonts w:ascii="Century Gothic" w:hAnsi="Century Gothic" w:cs="Calibri"/>
          <w:sz w:val="14"/>
          <w:szCs w:val="14"/>
        </w:rPr>
      </w:pPr>
      <w:r w:rsidRPr="00646F55">
        <w:rPr>
          <w:rFonts w:ascii="Century Gothic" w:hAnsi="Century Gothic" w:cs="Calibri"/>
          <w:b/>
          <w:sz w:val="14"/>
          <w:szCs w:val="14"/>
        </w:rPr>
        <w:t>Fuente:</w:t>
      </w:r>
      <w:r w:rsidRPr="00646F55">
        <w:rPr>
          <w:rFonts w:ascii="Century Gothic" w:hAnsi="Century Gothic" w:cs="Calibri"/>
          <w:sz w:val="14"/>
          <w:szCs w:val="14"/>
        </w:rPr>
        <w:t xml:space="preserve"> Módulo Ambiental ENESEM </w:t>
      </w:r>
      <w:r w:rsidR="00D330B6">
        <w:rPr>
          <w:rFonts w:ascii="Century Gothic" w:hAnsi="Century Gothic" w:cs="Calibri"/>
          <w:sz w:val="14"/>
          <w:szCs w:val="14"/>
        </w:rPr>
        <w:t>2020</w:t>
      </w:r>
      <w:r w:rsidRPr="00646F55">
        <w:rPr>
          <w:rFonts w:ascii="Century Gothic" w:hAnsi="Century Gothic" w:cs="Calibri"/>
          <w:sz w:val="14"/>
          <w:szCs w:val="14"/>
        </w:rPr>
        <w:t>.</w:t>
      </w:r>
    </w:p>
    <w:p w14:paraId="0A3FE5B6" w14:textId="77777777" w:rsidR="00964965" w:rsidRDefault="00964965" w:rsidP="00964965">
      <w:pPr>
        <w:jc w:val="both"/>
        <w:rPr>
          <w:rFonts w:ascii="Century Gothic" w:eastAsia="Times New Roman" w:hAnsi="Century Gothic" w:cs="Open Sans"/>
          <w:sz w:val="21"/>
          <w:szCs w:val="21"/>
          <w:lang w:eastAsia="es-ES_tradnl"/>
        </w:rPr>
      </w:pPr>
    </w:p>
    <w:p w14:paraId="505C3AB4" w14:textId="78D5BF20"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Las dos variables derivadas que incluye la BDD del MA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son:</w:t>
      </w:r>
    </w:p>
    <w:p w14:paraId="7D44DF15" w14:textId="77777777" w:rsidR="00964965" w:rsidRDefault="00964965" w:rsidP="00964965">
      <w:pPr>
        <w:jc w:val="both"/>
        <w:rPr>
          <w:rFonts w:ascii="Century Gothic" w:eastAsia="Times New Roman" w:hAnsi="Century Gothic" w:cs="Open Sans"/>
          <w:sz w:val="21"/>
          <w:szCs w:val="21"/>
          <w:lang w:eastAsia="es-ES_tradnl"/>
        </w:rPr>
      </w:pPr>
    </w:p>
    <w:p w14:paraId="562F24B6" w14:textId="77777777" w:rsidR="00964965" w:rsidRDefault="00964965" w:rsidP="00964965">
      <w:pPr>
        <w:pStyle w:val="Prrafodelista"/>
        <w:numPr>
          <w:ilvl w:val="0"/>
          <w:numId w:val="15"/>
        </w:numPr>
        <w:jc w:val="both"/>
        <w:rPr>
          <w:rFonts w:ascii="Century Gothic" w:eastAsia="Times New Roman" w:hAnsi="Century Gothic" w:cs="Open Sans"/>
          <w:sz w:val="21"/>
          <w:szCs w:val="21"/>
          <w:lang w:eastAsia="es-ES_tradnl"/>
        </w:rPr>
      </w:pPr>
      <w:r>
        <w:rPr>
          <w:rFonts w:ascii="Century Gothic" w:eastAsia="Times New Roman" w:hAnsi="Century Gothic" w:cs="Open Sans"/>
          <w:i/>
          <w:sz w:val="21"/>
          <w:szCs w:val="21"/>
          <w:lang w:eastAsia="es-ES_tradnl"/>
        </w:rPr>
        <w:t>valag</w:t>
      </w:r>
      <w:r w:rsidRPr="00AC5668">
        <w:rPr>
          <w:rFonts w:ascii="Century Gothic" w:eastAsia="Times New Roman" w:hAnsi="Century Gothic" w:cs="Open Sans"/>
          <w:i/>
          <w:sz w:val="21"/>
          <w:szCs w:val="21"/>
          <w:lang w:eastAsia="es-ES_tradnl"/>
        </w:rPr>
        <w:t xml:space="preserve">: </w:t>
      </w:r>
      <w:r>
        <w:rPr>
          <w:rFonts w:ascii="Century Gothic" w:eastAsia="Times New Roman" w:hAnsi="Century Gothic" w:cs="Open Sans"/>
          <w:sz w:val="21"/>
          <w:szCs w:val="21"/>
          <w:lang w:eastAsia="es-ES_tradnl"/>
        </w:rPr>
        <w:t>Es</w:t>
      </w:r>
      <w:r w:rsidRPr="00AC5668">
        <w:rPr>
          <w:rFonts w:ascii="Century Gothic" w:eastAsia="Times New Roman" w:hAnsi="Century Gothic" w:cs="Open Sans"/>
          <w:sz w:val="21"/>
          <w:szCs w:val="21"/>
          <w:lang w:eastAsia="es-ES_tradnl"/>
        </w:rPr>
        <w:t xml:space="preserve"> </w:t>
      </w:r>
      <w:r>
        <w:rPr>
          <w:rFonts w:ascii="Century Gothic" w:eastAsia="Times New Roman" w:hAnsi="Century Gothic" w:cs="Open Sans"/>
          <w:sz w:val="21"/>
          <w:szCs w:val="21"/>
          <w:lang w:eastAsia="es-ES_tradnl"/>
        </w:rPr>
        <w:t>la variable</w:t>
      </w:r>
      <w:r w:rsidRPr="00AC5668">
        <w:rPr>
          <w:rFonts w:ascii="Century Gothic" w:eastAsia="Times New Roman" w:hAnsi="Century Gothic" w:cs="Open Sans"/>
          <w:sz w:val="21"/>
          <w:szCs w:val="21"/>
          <w:lang w:eastAsia="es-ES_tradnl"/>
        </w:rPr>
        <w:t xml:space="preserve"> </w:t>
      </w:r>
      <w:r>
        <w:rPr>
          <w:rFonts w:ascii="Century Gothic" w:eastAsia="Times New Roman" w:hAnsi="Century Gothic" w:cs="Open Sans"/>
          <w:sz w:val="21"/>
          <w:szCs w:val="21"/>
          <w:lang w:eastAsia="es-ES_tradnl"/>
        </w:rPr>
        <w:t>la cual</w:t>
      </w:r>
      <w:r w:rsidRPr="00AC5668">
        <w:rPr>
          <w:rFonts w:ascii="Century Gothic" w:eastAsia="Times New Roman" w:hAnsi="Century Gothic" w:cs="Open Sans"/>
          <w:sz w:val="21"/>
          <w:szCs w:val="21"/>
          <w:lang w:eastAsia="es-ES_tradnl"/>
        </w:rPr>
        <w:t>, c</w:t>
      </w:r>
      <w:r>
        <w:rPr>
          <w:rFonts w:ascii="Century Gothic" w:eastAsia="Times New Roman" w:hAnsi="Century Gothic" w:cs="Open Sans"/>
          <w:sz w:val="21"/>
          <w:szCs w:val="21"/>
          <w:lang w:eastAsia="es-ES_tradnl"/>
        </w:rPr>
        <w:t>alculada por la Dirección de Estadísticas Económicas del INEC a partir de ciertas variables económicas y laborales, define el Valor Agregado Bruto (VAB) por cada empresa. Es una variable continua real valuada.</w:t>
      </w:r>
    </w:p>
    <w:p w14:paraId="69A02C29" w14:textId="44420543" w:rsidR="00964965" w:rsidRPr="001C2588" w:rsidRDefault="00964965" w:rsidP="00964965">
      <w:pPr>
        <w:pStyle w:val="Prrafodelista"/>
        <w:numPr>
          <w:ilvl w:val="0"/>
          <w:numId w:val="15"/>
        </w:numPr>
        <w:jc w:val="both"/>
        <w:rPr>
          <w:rFonts w:ascii="Century Gothic" w:eastAsia="Times New Roman" w:hAnsi="Century Gothic" w:cs="Open Sans"/>
          <w:sz w:val="21"/>
          <w:szCs w:val="21"/>
          <w:lang w:eastAsia="es-ES_tradnl"/>
        </w:rPr>
      </w:pPr>
      <w:r>
        <w:rPr>
          <w:rFonts w:ascii="Century Gothic" w:eastAsia="Times New Roman" w:hAnsi="Century Gothic" w:cs="Open Sans"/>
          <w:i/>
          <w:sz w:val="21"/>
          <w:szCs w:val="21"/>
          <w:lang w:eastAsia="es-ES_tradnl"/>
        </w:rPr>
        <w:t>W:</w:t>
      </w:r>
      <w:r>
        <w:rPr>
          <w:rFonts w:ascii="Century Gothic" w:eastAsia="Times New Roman" w:hAnsi="Century Gothic" w:cs="Open Sans"/>
          <w:sz w:val="21"/>
          <w:szCs w:val="21"/>
          <w:lang w:eastAsia="es-ES_tradnl"/>
        </w:rPr>
        <w:t xml:space="preserve"> Es un agregado de los logaritmos decimales de las variables escalares –continuas o de valor reales–, así como de otras variables categóricas del MA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que expresa una medida de impacto ambiental para cada empresa. Es una variable continua en el intervalo numérico [0, 1].</w:t>
      </w:r>
    </w:p>
    <w:p w14:paraId="40CB1D20" w14:textId="77777777" w:rsidR="00964965" w:rsidRDefault="00964965" w:rsidP="00964965">
      <w:pPr>
        <w:jc w:val="both"/>
        <w:rPr>
          <w:rFonts w:ascii="Century Gothic" w:eastAsia="Times New Roman" w:hAnsi="Century Gothic" w:cs="Open Sans"/>
          <w:sz w:val="21"/>
          <w:szCs w:val="21"/>
          <w:lang w:eastAsia="es-ES_tradnl"/>
        </w:rPr>
      </w:pPr>
    </w:p>
    <w:p w14:paraId="4B29349C" w14:textId="77777777"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Ambas variables derivadas son utilizadas sobre todo en los indicadores publicados de </w:t>
      </w:r>
      <w:r w:rsidRPr="00A559BF">
        <w:rPr>
          <w:rFonts w:ascii="Century Gothic" w:eastAsia="Times New Roman" w:hAnsi="Century Gothic" w:cs="Open Sans"/>
          <w:i/>
          <w:sz w:val="21"/>
          <w:szCs w:val="21"/>
          <w:lang w:eastAsia="es-ES_tradnl"/>
        </w:rPr>
        <w:t>intensidad energética</w:t>
      </w:r>
      <w:r>
        <w:rPr>
          <w:rFonts w:ascii="Century Gothic" w:eastAsia="Times New Roman" w:hAnsi="Century Gothic" w:cs="Open Sans"/>
          <w:sz w:val="21"/>
          <w:szCs w:val="21"/>
          <w:lang w:eastAsia="es-ES_tradnl"/>
        </w:rPr>
        <w:t xml:space="preserve">, </w:t>
      </w:r>
      <w:r w:rsidRPr="00A559BF">
        <w:rPr>
          <w:rFonts w:ascii="Century Gothic" w:eastAsia="Times New Roman" w:hAnsi="Century Gothic" w:cs="Open Sans"/>
          <w:i/>
          <w:sz w:val="21"/>
          <w:szCs w:val="21"/>
          <w:lang w:eastAsia="es-ES_tradnl"/>
        </w:rPr>
        <w:t>intensidad de generación de CO</w:t>
      </w:r>
      <w:r w:rsidRPr="00A559BF">
        <w:rPr>
          <w:rFonts w:ascii="Century Gothic" w:eastAsia="Times New Roman" w:hAnsi="Century Gothic" w:cs="Open Sans"/>
          <w:i/>
          <w:sz w:val="21"/>
          <w:szCs w:val="21"/>
          <w:vertAlign w:val="subscript"/>
          <w:lang w:eastAsia="es-ES_tradnl"/>
        </w:rPr>
        <w:t>2</w:t>
      </w:r>
      <w:r>
        <w:rPr>
          <w:rFonts w:ascii="Century Gothic" w:eastAsia="Times New Roman" w:hAnsi="Century Gothic" w:cs="Open Sans"/>
          <w:sz w:val="21"/>
          <w:szCs w:val="21"/>
          <w:lang w:eastAsia="es-ES_tradnl"/>
        </w:rPr>
        <w:t xml:space="preserve"> e </w:t>
      </w:r>
      <w:r w:rsidRPr="00A559BF">
        <w:rPr>
          <w:rFonts w:ascii="Century Gothic" w:eastAsia="Times New Roman" w:hAnsi="Century Gothic" w:cs="Open Sans"/>
          <w:i/>
          <w:sz w:val="21"/>
          <w:szCs w:val="21"/>
          <w:lang w:eastAsia="es-ES_tradnl"/>
        </w:rPr>
        <w:t>intensidad de uso de agua</w:t>
      </w:r>
      <w:r>
        <w:rPr>
          <w:rStyle w:val="Refdenotaalpie"/>
          <w:rFonts w:ascii="Century Gothic" w:eastAsia="Times New Roman" w:hAnsi="Century Gothic" w:cs="Open Sans"/>
          <w:i/>
          <w:sz w:val="21"/>
          <w:szCs w:val="21"/>
          <w:lang w:eastAsia="es-ES_tradnl"/>
        </w:rPr>
        <w:footnoteReference w:id="5"/>
      </w:r>
      <w:r>
        <w:rPr>
          <w:rFonts w:ascii="Century Gothic" w:eastAsia="Times New Roman" w:hAnsi="Century Gothic" w:cs="Open Sans"/>
          <w:sz w:val="21"/>
          <w:szCs w:val="21"/>
          <w:lang w:eastAsia="es-ES_tradnl"/>
        </w:rPr>
        <w:t>. También, la variable “</w:t>
      </w:r>
      <w:r w:rsidRPr="008B7C66">
        <w:rPr>
          <w:rFonts w:ascii="Century Gothic" w:eastAsia="Times New Roman" w:hAnsi="Century Gothic" w:cs="Open Sans"/>
          <w:b/>
          <w:sz w:val="21"/>
          <w:szCs w:val="21"/>
          <w:lang w:eastAsia="es-ES_tradnl"/>
        </w:rPr>
        <w:t>W</w:t>
      </w:r>
      <w:r>
        <w:rPr>
          <w:rFonts w:ascii="Century Gothic" w:eastAsia="Times New Roman" w:hAnsi="Century Gothic" w:cs="Open Sans"/>
          <w:sz w:val="21"/>
          <w:szCs w:val="21"/>
          <w:lang w:eastAsia="es-ES_tradnl"/>
        </w:rPr>
        <w:t xml:space="preserve">” puede </w:t>
      </w:r>
      <w:r>
        <w:rPr>
          <w:rFonts w:ascii="Century Gothic" w:eastAsia="Times New Roman" w:hAnsi="Century Gothic" w:cs="Open Sans"/>
          <w:sz w:val="21"/>
          <w:szCs w:val="21"/>
          <w:lang w:eastAsia="es-ES_tradnl"/>
        </w:rPr>
        <w:lastRenderedPageBreak/>
        <w:t>utilizarse para un sinnúmero de análisis de impacto ambiental, económico y mixto, sobre todo para las actividades económicas y para relacionar el impacto ambiental con cualesquiera variables económicas y ambientales</w:t>
      </w:r>
      <w:r>
        <w:rPr>
          <w:rStyle w:val="Refdenotaalpie"/>
          <w:rFonts w:ascii="Century Gothic" w:eastAsia="Times New Roman" w:hAnsi="Century Gothic" w:cs="Open Sans"/>
          <w:sz w:val="21"/>
          <w:szCs w:val="21"/>
          <w:lang w:eastAsia="es-ES_tradnl"/>
        </w:rPr>
        <w:footnoteReference w:id="6"/>
      </w:r>
      <w:r>
        <w:rPr>
          <w:rFonts w:ascii="Century Gothic" w:eastAsia="Times New Roman" w:hAnsi="Century Gothic" w:cs="Open Sans"/>
          <w:sz w:val="21"/>
          <w:szCs w:val="21"/>
          <w:lang w:eastAsia="es-ES_tradnl"/>
        </w:rPr>
        <w:t>.</w:t>
      </w:r>
    </w:p>
    <w:p w14:paraId="10CECE58" w14:textId="77777777"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Cabe señalar que, dentro del código del archivo de sintaxis SPSS de indicadores y tabulados, además de encontrarse la sintaxis del Impacto Ambiental, se encuentra un segmento de código en lenguaje de programación Python 3.x, el cual genera una nueva base de datos únicamente de desechos peligrosos</w:t>
      </w:r>
      <w:r>
        <w:rPr>
          <w:rStyle w:val="Refdenotaalpie"/>
          <w:rFonts w:ascii="Century Gothic" w:eastAsia="Times New Roman" w:hAnsi="Century Gothic" w:cs="Open Sans"/>
          <w:sz w:val="21"/>
          <w:szCs w:val="21"/>
          <w:lang w:eastAsia="es-ES_tradnl"/>
        </w:rPr>
        <w:footnoteReference w:id="7"/>
      </w:r>
      <w:r>
        <w:rPr>
          <w:rFonts w:ascii="Century Gothic" w:eastAsia="Times New Roman" w:hAnsi="Century Gothic" w:cs="Open Sans"/>
          <w:sz w:val="21"/>
          <w:szCs w:val="21"/>
          <w:lang w:eastAsia="es-ES_tradnl"/>
        </w:rPr>
        <w:t>.</w:t>
      </w:r>
    </w:p>
    <w:p w14:paraId="68CECC8D" w14:textId="77777777" w:rsidR="00964965" w:rsidRDefault="00964965" w:rsidP="00964965">
      <w:pPr>
        <w:jc w:val="both"/>
        <w:rPr>
          <w:rFonts w:ascii="Century Gothic" w:eastAsia="Times New Roman" w:hAnsi="Century Gothic" w:cs="Open Sans"/>
          <w:sz w:val="21"/>
          <w:szCs w:val="21"/>
          <w:lang w:eastAsia="es-ES_tradnl"/>
        </w:rPr>
      </w:pPr>
    </w:p>
    <w:p w14:paraId="608A1B1B" w14:textId="7D78FF36"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Esta base de datos no existía en versiones previas de la ENESEM, debido a que los residuos peligrosos se podían procesar directamente a partir de las variables que venían en la BDD del Módulo Ambiental de la ENESEM –en el caso de las variables del año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estas variables están en el rango entre la </w:t>
      </w:r>
      <w:r w:rsidRPr="004955C3">
        <w:rPr>
          <w:rFonts w:ascii="Century Gothic" w:eastAsia="Times New Roman" w:hAnsi="Century Gothic" w:cs="Open Sans"/>
          <w:b/>
          <w:sz w:val="21"/>
          <w:szCs w:val="21"/>
          <w:lang w:eastAsia="es-ES_tradnl"/>
        </w:rPr>
        <w:t>v10545</w:t>
      </w:r>
      <w:r>
        <w:rPr>
          <w:rFonts w:ascii="Century Gothic" w:eastAsia="Times New Roman" w:hAnsi="Century Gothic" w:cs="Open Sans"/>
          <w:sz w:val="21"/>
          <w:szCs w:val="21"/>
          <w:lang w:eastAsia="es-ES_tradnl"/>
        </w:rPr>
        <w:t xml:space="preserve"> y la </w:t>
      </w:r>
      <w:r w:rsidRPr="004955C3">
        <w:rPr>
          <w:rFonts w:ascii="Century Gothic" w:eastAsia="Times New Roman" w:hAnsi="Century Gothic" w:cs="Open Sans"/>
          <w:b/>
          <w:sz w:val="21"/>
          <w:szCs w:val="21"/>
          <w:lang w:eastAsia="es-ES_tradnl"/>
        </w:rPr>
        <w:t>v11006</w:t>
      </w:r>
      <w:r>
        <w:rPr>
          <w:rFonts w:ascii="Century Gothic" w:eastAsia="Times New Roman" w:hAnsi="Century Gothic" w:cs="Open Sans"/>
          <w:sz w:val="21"/>
          <w:szCs w:val="21"/>
          <w:lang w:eastAsia="es-ES_tradnl"/>
        </w:rPr>
        <w:t xml:space="preserve">–. Pero en la BDD del año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el usuario encontrará variables especiales, cuyos nombres son: </w:t>
      </w:r>
      <w:r w:rsidRPr="004955C3">
        <w:rPr>
          <w:rFonts w:ascii="Century Gothic" w:eastAsia="Times New Roman" w:hAnsi="Century Gothic" w:cs="Open Sans"/>
          <w:b/>
          <w:sz w:val="21"/>
          <w:szCs w:val="21"/>
          <w:lang w:eastAsia="es-ES_tradnl"/>
        </w:rPr>
        <w:t>tipo_desecho_1</w:t>
      </w:r>
      <w:r>
        <w:rPr>
          <w:rFonts w:ascii="Century Gothic" w:eastAsia="Times New Roman" w:hAnsi="Century Gothic" w:cs="Open Sans"/>
          <w:sz w:val="21"/>
          <w:szCs w:val="21"/>
          <w:lang w:eastAsia="es-ES_tradnl"/>
        </w:rPr>
        <w:t xml:space="preserve">, </w:t>
      </w:r>
      <w:r w:rsidRPr="004955C3">
        <w:rPr>
          <w:rFonts w:ascii="Century Gothic" w:eastAsia="Times New Roman" w:hAnsi="Century Gothic" w:cs="Open Sans"/>
          <w:b/>
          <w:sz w:val="21"/>
          <w:szCs w:val="21"/>
          <w:lang w:eastAsia="es-ES_tradnl"/>
        </w:rPr>
        <w:t>tipo_desecho_2</w:t>
      </w:r>
      <w:r>
        <w:rPr>
          <w:rFonts w:ascii="Century Gothic" w:eastAsia="Times New Roman" w:hAnsi="Century Gothic" w:cs="Open Sans"/>
          <w:sz w:val="21"/>
          <w:szCs w:val="21"/>
          <w:lang w:eastAsia="es-ES_tradnl"/>
        </w:rPr>
        <w:t xml:space="preserve">, …, </w:t>
      </w:r>
      <w:r w:rsidRPr="004955C3">
        <w:rPr>
          <w:rFonts w:ascii="Century Gothic" w:eastAsia="Times New Roman" w:hAnsi="Century Gothic" w:cs="Open Sans"/>
          <w:b/>
          <w:sz w:val="21"/>
          <w:szCs w:val="21"/>
          <w:lang w:eastAsia="es-ES_tradnl"/>
        </w:rPr>
        <w:t>tipo_desecho_22</w:t>
      </w:r>
      <w:r>
        <w:rPr>
          <w:rFonts w:ascii="Century Gothic" w:eastAsia="Times New Roman" w:hAnsi="Century Gothic" w:cs="Open Sans"/>
          <w:sz w:val="21"/>
          <w:szCs w:val="21"/>
          <w:lang w:eastAsia="es-ES_tradnl"/>
        </w:rPr>
        <w:t>.</w:t>
      </w:r>
    </w:p>
    <w:p w14:paraId="2D3ECB81" w14:textId="77777777" w:rsidR="00964965" w:rsidRDefault="00964965" w:rsidP="00964965">
      <w:pPr>
        <w:jc w:val="both"/>
        <w:rPr>
          <w:rFonts w:ascii="Century Gothic" w:eastAsia="Times New Roman" w:hAnsi="Century Gothic" w:cs="Open Sans"/>
          <w:sz w:val="21"/>
          <w:szCs w:val="21"/>
          <w:lang w:eastAsia="es-ES_tradnl"/>
        </w:rPr>
      </w:pPr>
    </w:p>
    <w:p w14:paraId="5D11CE88" w14:textId="31E12995" w:rsidR="00964965" w:rsidRPr="003A14D8" w:rsidRDefault="00964965" w:rsidP="00964965">
      <w:pPr>
        <w:jc w:val="both"/>
        <w:rPr>
          <w:rFonts w:ascii="Century Gothic" w:eastAsia="Times New Roman" w:hAnsi="Century Gothic" w:cs="Open Sans"/>
          <w:b/>
          <w:sz w:val="21"/>
          <w:szCs w:val="21"/>
          <w:lang w:eastAsia="es-ES_tradnl"/>
        </w:rPr>
      </w:pPr>
      <w:r>
        <w:rPr>
          <w:rFonts w:ascii="Century Gothic" w:eastAsia="Times New Roman" w:hAnsi="Century Gothic" w:cs="Open Sans"/>
          <w:sz w:val="21"/>
          <w:szCs w:val="21"/>
          <w:lang w:eastAsia="es-ES_tradnl"/>
        </w:rPr>
        <w:t xml:space="preserve">Estas variables contienen un texto con un nombre codificado de desecho peligroso, código que pertenece a un catálogo internacional manejado en nuestro país por el Ministerio del Ambiente, y que en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permiten homologar la recolección de datos sobre los mencionados desechos peligrosos catalogados en el país (295 en total). De estos 295 desechos peligrosos, las empresas investigadas en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dieron cuenta de que generan 1</w:t>
      </w:r>
      <w:r w:rsidR="00EE6A37">
        <w:rPr>
          <w:rFonts w:ascii="Century Gothic" w:eastAsia="Times New Roman" w:hAnsi="Century Gothic" w:cs="Open Sans"/>
          <w:sz w:val="21"/>
          <w:szCs w:val="21"/>
          <w:lang w:eastAsia="es-ES_tradnl"/>
        </w:rPr>
        <w:t>43</w:t>
      </w:r>
      <w:r>
        <w:rPr>
          <w:rFonts w:ascii="Century Gothic" w:eastAsia="Times New Roman" w:hAnsi="Century Gothic" w:cs="Open Sans"/>
          <w:sz w:val="21"/>
          <w:szCs w:val="21"/>
          <w:lang w:eastAsia="es-ES_tradnl"/>
        </w:rPr>
        <w:t xml:space="preserve"> de los 295 desechos peligrosos del catálogo del Ministerio del Ambiente. Cada variable de nombre </w:t>
      </w:r>
      <w:r w:rsidRPr="004955C3">
        <w:rPr>
          <w:rFonts w:ascii="Century Gothic" w:eastAsia="Times New Roman" w:hAnsi="Century Gothic" w:cs="Open Sans"/>
          <w:b/>
          <w:sz w:val="21"/>
          <w:szCs w:val="21"/>
          <w:lang w:eastAsia="es-ES_tradnl"/>
        </w:rPr>
        <w:t>tipo_desecho_N</w:t>
      </w:r>
      <w:r>
        <w:rPr>
          <w:rFonts w:ascii="Century Gothic" w:eastAsia="Times New Roman" w:hAnsi="Century Gothic" w:cs="Open Sans"/>
          <w:sz w:val="21"/>
          <w:szCs w:val="21"/>
          <w:lang w:eastAsia="es-ES_tradnl"/>
        </w:rPr>
        <w:t xml:space="preserve"> </w:t>
      </w:r>
      <w:r>
        <w:rPr>
          <w:rFonts w:ascii="Century Gothic" w:eastAsia="Times New Roman" w:hAnsi="Century Gothic" w:cs="Open Sans"/>
          <w:sz w:val="21"/>
          <w:szCs w:val="21"/>
          <w:lang w:eastAsia="es-ES_tradnl"/>
        </w:rPr>
        <w:lastRenderedPageBreak/>
        <w:t>tiene un valor que en general es distinto para cada empresa, por tanto, haciendo que un grupo de las mismas variables contengan información de desechos muy distintos, según el orden en que las empresas hayan escogido llenar la información para los desechos peligrosos que ellas generan.</w:t>
      </w:r>
    </w:p>
    <w:p w14:paraId="0F2D19DE" w14:textId="77777777" w:rsidR="00964965" w:rsidRDefault="00964965" w:rsidP="00964965">
      <w:pPr>
        <w:jc w:val="both"/>
        <w:rPr>
          <w:rFonts w:ascii="Century Gothic" w:eastAsia="Times New Roman" w:hAnsi="Century Gothic" w:cs="Open Sans"/>
          <w:sz w:val="21"/>
          <w:szCs w:val="21"/>
          <w:lang w:eastAsia="es-ES_tradnl"/>
        </w:rPr>
      </w:pPr>
    </w:p>
    <w:p w14:paraId="504600AF" w14:textId="22C9A827"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Así, por ejemplo, en el formulario descargable del Módulo Ambiental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puede observarse en la </w:t>
      </w:r>
      <w:r w:rsidRPr="001A76A6">
        <w:rPr>
          <w:rFonts w:ascii="Century Gothic" w:eastAsia="Times New Roman" w:hAnsi="Century Gothic" w:cs="Open Sans"/>
          <w:b/>
          <w:sz w:val="21"/>
          <w:szCs w:val="21"/>
          <w:lang w:eastAsia="es-ES_tradnl"/>
        </w:rPr>
        <w:t>Línea 384</w:t>
      </w:r>
      <w:r>
        <w:rPr>
          <w:rFonts w:ascii="Century Gothic" w:eastAsia="Times New Roman" w:hAnsi="Century Gothic" w:cs="Open Sans"/>
          <w:sz w:val="21"/>
          <w:szCs w:val="21"/>
          <w:lang w:eastAsia="es-ES_tradnl"/>
        </w:rPr>
        <w:t xml:space="preserve"> que el espacio está reservado o sugerido para el ingreso del desecho peligroso de nombre:</w:t>
      </w:r>
      <w:r w:rsidR="00EE6A37">
        <w:rPr>
          <w:rFonts w:ascii="Century Gothic" w:eastAsia="Times New Roman" w:hAnsi="Century Gothic" w:cs="Open Sans"/>
          <w:sz w:val="21"/>
          <w:szCs w:val="21"/>
          <w:lang w:eastAsia="es-ES_tradnl"/>
        </w:rPr>
        <w:t xml:space="preserve"> “</w:t>
      </w:r>
      <w:r w:rsidR="00EE6A37" w:rsidRPr="001A76A6">
        <w:rPr>
          <w:rFonts w:ascii="Century Gothic" w:eastAsia="Times New Roman" w:hAnsi="Century Gothic" w:cs="Open Sans"/>
          <w:b/>
          <w:sz w:val="21"/>
          <w:szCs w:val="21"/>
          <w:lang w:eastAsia="es-ES_tradnl"/>
        </w:rPr>
        <w:t>(NE-0</w:t>
      </w:r>
      <w:r w:rsidR="00EE6A37">
        <w:rPr>
          <w:rFonts w:ascii="Century Gothic" w:eastAsia="Times New Roman" w:hAnsi="Century Gothic" w:cs="Open Sans"/>
          <w:b/>
          <w:sz w:val="21"/>
          <w:szCs w:val="21"/>
          <w:lang w:eastAsia="es-ES_tradnl"/>
        </w:rPr>
        <w:t>3</w:t>
      </w:r>
      <w:r w:rsidR="00EE6A37" w:rsidRPr="001A76A6">
        <w:rPr>
          <w:rFonts w:ascii="Century Gothic" w:eastAsia="Times New Roman" w:hAnsi="Century Gothic" w:cs="Open Sans"/>
          <w:b/>
          <w:sz w:val="21"/>
          <w:szCs w:val="21"/>
          <w:lang w:eastAsia="es-ES_tradnl"/>
        </w:rPr>
        <w:t xml:space="preserve">) </w:t>
      </w:r>
      <w:r w:rsidR="00EE6A37">
        <w:rPr>
          <w:rFonts w:ascii="Century Gothic" w:eastAsia="Times New Roman" w:hAnsi="Century Gothic" w:cs="Open Sans"/>
          <w:b/>
          <w:sz w:val="21"/>
          <w:szCs w:val="21"/>
          <w:lang w:eastAsia="es-ES_tradnl"/>
        </w:rPr>
        <w:t>-</w:t>
      </w:r>
      <w:r w:rsidR="00EE6A37" w:rsidRPr="001A76A6">
        <w:rPr>
          <w:rFonts w:ascii="Century Gothic" w:eastAsia="Times New Roman" w:hAnsi="Century Gothic" w:cs="Open Sans"/>
          <w:b/>
          <w:sz w:val="21"/>
          <w:szCs w:val="21"/>
          <w:lang w:eastAsia="es-ES_tradnl"/>
        </w:rPr>
        <w:t xml:space="preserve"> </w:t>
      </w:r>
      <w:r w:rsidR="00EE6A37">
        <w:rPr>
          <w:rFonts w:ascii="Century Gothic" w:eastAsia="Times New Roman" w:hAnsi="Century Gothic" w:cs="Open Sans"/>
          <w:b/>
          <w:sz w:val="21"/>
          <w:szCs w:val="21"/>
          <w:lang w:eastAsia="es-ES_tradnl"/>
        </w:rPr>
        <w:t>Aceites minerales usados o gastados</w:t>
      </w:r>
      <w:r w:rsidR="00EE6A37">
        <w:rPr>
          <w:rFonts w:ascii="Century Gothic" w:eastAsia="Times New Roman" w:hAnsi="Century Gothic" w:cs="Open Sans"/>
          <w:sz w:val="21"/>
          <w:szCs w:val="21"/>
          <w:lang w:eastAsia="es-ES_tradnl"/>
        </w:rPr>
        <w:t>”.</w:t>
      </w:r>
      <w:r>
        <w:rPr>
          <w:rFonts w:ascii="Century Gothic" w:eastAsia="Times New Roman" w:hAnsi="Century Gothic" w:cs="Open Sans"/>
          <w:sz w:val="21"/>
          <w:szCs w:val="21"/>
          <w:lang w:eastAsia="es-ES_tradnl"/>
        </w:rPr>
        <w:t xml:space="preserve"> mientras que en la </w:t>
      </w:r>
      <w:r w:rsidRPr="001A76A6">
        <w:rPr>
          <w:rFonts w:ascii="Century Gothic" w:eastAsia="Times New Roman" w:hAnsi="Century Gothic" w:cs="Open Sans"/>
          <w:b/>
          <w:sz w:val="21"/>
          <w:szCs w:val="21"/>
          <w:lang w:eastAsia="es-ES_tradnl"/>
        </w:rPr>
        <w:t>Línea 386</w:t>
      </w:r>
      <w:r>
        <w:rPr>
          <w:rFonts w:ascii="Century Gothic" w:eastAsia="Times New Roman" w:hAnsi="Century Gothic" w:cs="Open Sans"/>
          <w:sz w:val="21"/>
          <w:szCs w:val="21"/>
          <w:lang w:eastAsia="es-ES_tradnl"/>
        </w:rPr>
        <w:t>, se ha reservado el espacio para el ingreso del desecho: “</w:t>
      </w:r>
      <w:r w:rsidRPr="001A76A6">
        <w:rPr>
          <w:rFonts w:ascii="Century Gothic" w:eastAsia="Times New Roman" w:hAnsi="Century Gothic" w:cs="Open Sans"/>
          <w:b/>
          <w:sz w:val="21"/>
          <w:szCs w:val="21"/>
          <w:lang w:eastAsia="es-ES_tradnl"/>
        </w:rPr>
        <w:t>(NE-40) - Luminarias, lámparas, tubos fluorescentes, focos ahorradores usados que contengan mercurio</w:t>
      </w:r>
      <w:r>
        <w:rPr>
          <w:rFonts w:ascii="Century Gothic" w:eastAsia="Times New Roman" w:hAnsi="Century Gothic" w:cs="Open Sans"/>
          <w:sz w:val="21"/>
          <w:szCs w:val="21"/>
          <w:lang w:eastAsia="es-ES_tradnl"/>
        </w:rPr>
        <w:t>”. Sin embargo, sucede que</w:t>
      </w:r>
      <w:r w:rsidR="00B216F0">
        <w:rPr>
          <w:rFonts w:ascii="Century Gothic" w:eastAsia="Times New Roman" w:hAnsi="Century Gothic" w:cs="Open Sans"/>
          <w:sz w:val="21"/>
          <w:szCs w:val="21"/>
          <w:lang w:eastAsia="es-ES_tradnl"/>
        </w:rPr>
        <w:t xml:space="preserve"> </w:t>
      </w:r>
      <w:r>
        <w:rPr>
          <w:rFonts w:ascii="Century Gothic" w:eastAsia="Times New Roman" w:hAnsi="Century Gothic" w:cs="Open Sans"/>
          <w:sz w:val="21"/>
          <w:szCs w:val="21"/>
          <w:lang w:eastAsia="es-ES_tradnl"/>
        </w:rPr>
        <w:t xml:space="preserve">en el aplicativo web de la aplicación INFOCAPT de llenado de la información ambiental para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las empresas tuvieron la libertad de invertir el orden sugerido, si ellas lo creían necesario o conveniente. Así, algunas empresas llenaron información sobre el desecho “</w:t>
      </w:r>
      <w:r w:rsidRPr="001A76A6">
        <w:rPr>
          <w:rFonts w:ascii="Century Gothic" w:eastAsia="Times New Roman" w:hAnsi="Century Gothic" w:cs="Open Sans"/>
          <w:b/>
          <w:sz w:val="21"/>
          <w:szCs w:val="21"/>
          <w:lang w:eastAsia="es-ES_tradnl"/>
        </w:rPr>
        <w:t>(NE-03) - Aceites minerales usados o gastados</w:t>
      </w:r>
      <w:r>
        <w:rPr>
          <w:rFonts w:ascii="Century Gothic" w:eastAsia="Times New Roman" w:hAnsi="Century Gothic" w:cs="Open Sans"/>
          <w:sz w:val="21"/>
          <w:szCs w:val="21"/>
          <w:lang w:eastAsia="es-ES_tradnl"/>
        </w:rPr>
        <w:t xml:space="preserve">” </w:t>
      </w:r>
      <w:r w:rsidR="00B216F0">
        <w:rPr>
          <w:rFonts w:ascii="Century Gothic" w:eastAsia="Times New Roman" w:hAnsi="Century Gothic" w:cs="Open Sans"/>
          <w:sz w:val="21"/>
          <w:szCs w:val="21"/>
          <w:lang w:eastAsia="es-ES_tradnl"/>
        </w:rPr>
        <w:t>¡</w:t>
      </w:r>
      <w:r>
        <w:rPr>
          <w:rFonts w:ascii="Century Gothic" w:eastAsia="Times New Roman" w:hAnsi="Century Gothic" w:cs="Open Sans"/>
          <w:sz w:val="21"/>
          <w:szCs w:val="21"/>
          <w:lang w:eastAsia="es-ES_tradnl"/>
        </w:rPr>
        <w:t xml:space="preserve">en cualquier línea de ingreso de desechos peligrosos!, y no necesariamente en la </w:t>
      </w:r>
      <w:r w:rsidRPr="001A76A6">
        <w:rPr>
          <w:rFonts w:ascii="Century Gothic" w:eastAsia="Times New Roman" w:hAnsi="Century Gothic" w:cs="Open Sans"/>
          <w:b/>
          <w:sz w:val="21"/>
          <w:szCs w:val="21"/>
          <w:lang w:eastAsia="es-ES_tradnl"/>
        </w:rPr>
        <w:t>Línea 384</w:t>
      </w:r>
      <w:r>
        <w:rPr>
          <w:rFonts w:ascii="Century Gothic" w:eastAsia="Times New Roman" w:hAnsi="Century Gothic" w:cs="Open Sans"/>
          <w:sz w:val="21"/>
          <w:szCs w:val="21"/>
          <w:lang w:eastAsia="es-ES_tradnl"/>
        </w:rPr>
        <w:t>, reservada por diseño del formulario para ese fin. La misma situación ocurrió con buen número de los diferentes desechos peligrosos.</w:t>
      </w:r>
    </w:p>
    <w:p w14:paraId="28952BC4" w14:textId="77777777" w:rsidR="00964965" w:rsidRDefault="00964965" w:rsidP="00964965">
      <w:pPr>
        <w:jc w:val="both"/>
        <w:rPr>
          <w:rFonts w:ascii="Century Gothic" w:eastAsia="Times New Roman" w:hAnsi="Century Gothic" w:cs="Open Sans"/>
          <w:sz w:val="21"/>
          <w:szCs w:val="21"/>
          <w:lang w:eastAsia="es-ES_tradnl"/>
        </w:rPr>
      </w:pPr>
    </w:p>
    <w:p w14:paraId="7DBCD125" w14:textId="35E22DD1"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En consecuencia, fue necesario escribir un código relativamente complejo que busque los residuos que tienen el mismo código y nombre, copiar esta información en variables nuevas de una nueva BDD solo de </w:t>
      </w:r>
      <w:r>
        <w:rPr>
          <w:rFonts w:ascii="Century Gothic" w:eastAsia="Times New Roman" w:hAnsi="Century Gothic" w:cs="Open Sans"/>
          <w:sz w:val="21"/>
          <w:szCs w:val="21"/>
          <w:lang w:eastAsia="es-ES_tradnl"/>
        </w:rPr>
        <w:lastRenderedPageBreak/>
        <w:t xml:space="preserve">desechos peligrosos, y asignarlas empresa por empresa. La ventaja de esta BDD generada es que está bajo el estándar internacional de la </w:t>
      </w:r>
      <w:r w:rsidRPr="003A14D8">
        <w:rPr>
          <w:rFonts w:ascii="Century Gothic" w:eastAsia="Times New Roman" w:hAnsi="Century Gothic" w:cs="Open Sans"/>
          <w:i/>
          <w:sz w:val="21"/>
          <w:szCs w:val="21"/>
          <w:u w:val="single"/>
          <w:lang w:eastAsia="es-ES_tradnl"/>
        </w:rPr>
        <w:t>Forma Normal de Boyce-Codd</w:t>
      </w:r>
      <w:r>
        <w:rPr>
          <w:rStyle w:val="Refdenotaalpie"/>
          <w:rFonts w:ascii="Century Gothic" w:eastAsia="Times New Roman" w:hAnsi="Century Gothic" w:cs="Open Sans"/>
          <w:i/>
          <w:sz w:val="21"/>
          <w:szCs w:val="21"/>
          <w:u w:val="single"/>
          <w:lang w:eastAsia="es-ES_tradnl"/>
        </w:rPr>
        <w:footnoteReference w:id="8"/>
      </w:r>
      <w:r>
        <w:rPr>
          <w:rFonts w:ascii="Century Gothic" w:eastAsia="Times New Roman" w:hAnsi="Century Gothic" w:cs="Open Sans"/>
          <w:sz w:val="21"/>
          <w:szCs w:val="21"/>
          <w:lang w:eastAsia="es-ES_tradnl"/>
        </w:rPr>
        <w:t xml:space="preserve">, por la cual se garantiza que cada empresa tenga toda la información –de sus desechos peligrosos- en una sola fila, y que cada variable o columna almacene exactamente la misma información para todas las empresas. No obstante, esta BDD no se publica, ya que realmente es una base sintética o generada a partir de la BDD publicada, mediante el código Python 3.x ya mencionado antes, y que puede ser reconstruida por un usuario / analista en capacidad de hacerlo. En este caso, su procesamiento sería muy similar al de la BDD publicada del Módulo Ambiental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w:t>
      </w:r>
    </w:p>
    <w:p w14:paraId="41047900" w14:textId="77777777" w:rsidR="00811C84" w:rsidRDefault="00811C84" w:rsidP="00964965">
      <w:pPr>
        <w:jc w:val="both"/>
        <w:rPr>
          <w:rFonts w:ascii="Century Gothic" w:eastAsia="Times New Roman" w:hAnsi="Century Gothic" w:cs="Open Sans"/>
          <w:sz w:val="21"/>
          <w:szCs w:val="21"/>
          <w:lang w:eastAsia="es-ES_tradnl"/>
        </w:rPr>
      </w:pPr>
    </w:p>
    <w:p w14:paraId="4FB07B91" w14:textId="69E080D8"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La nomenclatura usada para esta BDD generada con los desechos peligrosos por empresa es la siguiente: todo el grupo de variables para un desecho peligroso, por ejemplo el desecho de nombre “</w:t>
      </w:r>
      <w:r w:rsidRPr="001A76A6">
        <w:rPr>
          <w:rFonts w:ascii="Century Gothic" w:eastAsia="Times New Roman" w:hAnsi="Century Gothic" w:cs="Open Sans"/>
          <w:b/>
          <w:sz w:val="21"/>
          <w:szCs w:val="21"/>
          <w:lang w:eastAsia="es-ES_tradnl"/>
        </w:rPr>
        <w:t>(NE-03) - Aceites minerales usados o gastados</w:t>
      </w:r>
      <w:r>
        <w:rPr>
          <w:rFonts w:ascii="Century Gothic" w:eastAsia="Times New Roman" w:hAnsi="Century Gothic" w:cs="Open Sans"/>
          <w:sz w:val="21"/>
          <w:szCs w:val="21"/>
          <w:lang w:eastAsia="es-ES_tradnl"/>
        </w:rPr>
        <w:t>”, comenzará con la variable “</w:t>
      </w:r>
      <w:r w:rsidRPr="00F72632">
        <w:rPr>
          <w:rFonts w:ascii="Century Gothic" w:eastAsia="Times New Roman" w:hAnsi="Century Gothic" w:cs="Open Sans"/>
          <w:b/>
          <w:sz w:val="21"/>
          <w:szCs w:val="21"/>
          <w:lang w:eastAsia="es-ES_tradnl"/>
        </w:rPr>
        <w:t>y242_0</w:t>
      </w:r>
      <w:r>
        <w:rPr>
          <w:rFonts w:ascii="Century Gothic" w:eastAsia="Times New Roman" w:hAnsi="Century Gothic" w:cs="Open Sans"/>
          <w:sz w:val="21"/>
          <w:szCs w:val="21"/>
          <w:lang w:eastAsia="es-ES_tradnl"/>
        </w:rPr>
        <w:t>”, la cual contendrá justamente la cadena con el texto “</w:t>
      </w:r>
      <w:r w:rsidRPr="001A76A6">
        <w:rPr>
          <w:rFonts w:ascii="Century Gothic" w:eastAsia="Times New Roman" w:hAnsi="Century Gothic" w:cs="Open Sans"/>
          <w:b/>
          <w:sz w:val="21"/>
          <w:szCs w:val="21"/>
          <w:lang w:eastAsia="es-ES_tradnl"/>
        </w:rPr>
        <w:t>(NE-03) - Aceites minerales usados o gastados</w:t>
      </w:r>
      <w:r>
        <w:rPr>
          <w:rFonts w:ascii="Century Gothic" w:eastAsia="Times New Roman" w:hAnsi="Century Gothic" w:cs="Open Sans"/>
          <w:sz w:val="21"/>
          <w:szCs w:val="21"/>
          <w:lang w:eastAsia="es-ES_tradnl"/>
        </w:rPr>
        <w:t>”, para todas las empresas, independientemente si algunas de estas empresas no generan el desecho. Luego, a la derecha de la variable “</w:t>
      </w:r>
      <w:r w:rsidRPr="00F72632">
        <w:rPr>
          <w:rFonts w:ascii="Century Gothic" w:eastAsia="Times New Roman" w:hAnsi="Century Gothic" w:cs="Open Sans"/>
          <w:b/>
          <w:sz w:val="21"/>
          <w:szCs w:val="21"/>
          <w:lang w:eastAsia="es-ES_tradnl"/>
        </w:rPr>
        <w:t>y242_0</w:t>
      </w:r>
      <w:r>
        <w:rPr>
          <w:rFonts w:ascii="Century Gothic" w:eastAsia="Times New Roman" w:hAnsi="Century Gothic" w:cs="Open Sans"/>
          <w:sz w:val="21"/>
          <w:szCs w:val="21"/>
          <w:lang w:eastAsia="es-ES_tradnl"/>
        </w:rPr>
        <w:t>”, aparecerán las variables: “</w:t>
      </w:r>
      <w:r w:rsidRPr="00F72632">
        <w:rPr>
          <w:rFonts w:ascii="Century Gothic" w:eastAsia="Times New Roman" w:hAnsi="Century Gothic" w:cs="Open Sans"/>
          <w:b/>
          <w:sz w:val="21"/>
          <w:szCs w:val="21"/>
          <w:lang w:eastAsia="es-ES_tradnl"/>
        </w:rPr>
        <w:t>y242_1</w:t>
      </w:r>
      <w:r>
        <w:rPr>
          <w:rFonts w:ascii="Century Gothic" w:eastAsia="Times New Roman" w:hAnsi="Century Gothic" w:cs="Open Sans"/>
          <w:sz w:val="21"/>
          <w:szCs w:val="21"/>
          <w:lang w:eastAsia="es-ES_tradnl"/>
        </w:rPr>
        <w:t>”, “</w:t>
      </w:r>
      <w:r w:rsidRPr="00F72632">
        <w:rPr>
          <w:rFonts w:ascii="Century Gothic" w:eastAsia="Times New Roman" w:hAnsi="Century Gothic" w:cs="Open Sans"/>
          <w:b/>
          <w:sz w:val="21"/>
          <w:szCs w:val="21"/>
          <w:lang w:eastAsia="es-ES_tradnl"/>
        </w:rPr>
        <w:t>y242_1.1</w:t>
      </w:r>
      <w:r>
        <w:rPr>
          <w:rFonts w:ascii="Century Gothic" w:eastAsia="Times New Roman" w:hAnsi="Century Gothic" w:cs="Open Sans"/>
          <w:sz w:val="21"/>
          <w:szCs w:val="21"/>
          <w:lang w:eastAsia="es-ES_tradnl"/>
        </w:rPr>
        <w:t>”, “</w:t>
      </w:r>
      <w:r w:rsidRPr="00F72632">
        <w:rPr>
          <w:rFonts w:ascii="Century Gothic" w:eastAsia="Times New Roman" w:hAnsi="Century Gothic" w:cs="Open Sans"/>
          <w:b/>
          <w:sz w:val="21"/>
          <w:szCs w:val="21"/>
          <w:lang w:eastAsia="es-ES_tradnl"/>
        </w:rPr>
        <w:t>y242_2.1</w:t>
      </w:r>
      <w:r>
        <w:rPr>
          <w:rFonts w:ascii="Century Gothic" w:eastAsia="Times New Roman" w:hAnsi="Century Gothic" w:cs="Open Sans"/>
          <w:sz w:val="21"/>
          <w:szCs w:val="21"/>
          <w:lang w:eastAsia="es-ES_tradnl"/>
        </w:rPr>
        <w:t>”, “</w:t>
      </w:r>
      <w:r w:rsidRPr="00F72632">
        <w:rPr>
          <w:rFonts w:ascii="Century Gothic" w:eastAsia="Times New Roman" w:hAnsi="Century Gothic" w:cs="Open Sans"/>
          <w:b/>
          <w:sz w:val="21"/>
          <w:szCs w:val="21"/>
          <w:lang w:eastAsia="es-ES_tradnl"/>
        </w:rPr>
        <w:t>y242_2.2</w:t>
      </w:r>
      <w:r>
        <w:rPr>
          <w:rFonts w:ascii="Century Gothic" w:eastAsia="Times New Roman" w:hAnsi="Century Gothic" w:cs="Open Sans"/>
          <w:sz w:val="21"/>
          <w:szCs w:val="21"/>
          <w:lang w:eastAsia="es-ES_tradnl"/>
        </w:rPr>
        <w:t>”, …, “</w:t>
      </w:r>
      <w:r w:rsidRPr="00F72632">
        <w:rPr>
          <w:rFonts w:ascii="Century Gothic" w:eastAsia="Times New Roman" w:hAnsi="Century Gothic" w:cs="Open Sans"/>
          <w:b/>
          <w:sz w:val="21"/>
          <w:szCs w:val="21"/>
          <w:lang w:eastAsia="es-ES_tradnl"/>
        </w:rPr>
        <w:t>y242_8.1</w:t>
      </w:r>
      <w:r>
        <w:rPr>
          <w:rFonts w:ascii="Century Gothic" w:eastAsia="Times New Roman" w:hAnsi="Century Gothic" w:cs="Open Sans"/>
          <w:sz w:val="21"/>
          <w:szCs w:val="21"/>
          <w:lang w:eastAsia="es-ES_tradnl"/>
        </w:rPr>
        <w:t>”, “</w:t>
      </w:r>
      <w:r w:rsidRPr="00F72632">
        <w:rPr>
          <w:rFonts w:ascii="Century Gothic" w:eastAsia="Times New Roman" w:hAnsi="Century Gothic" w:cs="Open Sans"/>
          <w:b/>
          <w:sz w:val="21"/>
          <w:szCs w:val="21"/>
          <w:lang w:eastAsia="es-ES_tradnl"/>
        </w:rPr>
        <w:t>y242_8.2</w:t>
      </w:r>
      <w:r>
        <w:rPr>
          <w:rFonts w:ascii="Century Gothic" w:eastAsia="Times New Roman" w:hAnsi="Century Gothic" w:cs="Open Sans"/>
          <w:sz w:val="21"/>
          <w:szCs w:val="21"/>
          <w:lang w:eastAsia="es-ES_tradnl"/>
        </w:rPr>
        <w:t>”, “</w:t>
      </w:r>
      <w:r w:rsidRPr="00F72632">
        <w:rPr>
          <w:rFonts w:ascii="Century Gothic" w:eastAsia="Times New Roman" w:hAnsi="Century Gothic" w:cs="Open Sans"/>
          <w:b/>
          <w:sz w:val="21"/>
          <w:szCs w:val="21"/>
          <w:lang w:eastAsia="es-ES_tradnl"/>
        </w:rPr>
        <w:t>y242_8.3</w:t>
      </w:r>
      <w:r>
        <w:rPr>
          <w:rFonts w:ascii="Century Gothic" w:eastAsia="Times New Roman" w:hAnsi="Century Gothic" w:cs="Open Sans"/>
          <w:sz w:val="21"/>
          <w:szCs w:val="21"/>
          <w:lang w:eastAsia="es-ES_tradnl"/>
        </w:rPr>
        <w:t>”, “</w:t>
      </w:r>
      <w:r w:rsidRPr="00F72632">
        <w:rPr>
          <w:rFonts w:ascii="Century Gothic" w:eastAsia="Times New Roman" w:hAnsi="Century Gothic" w:cs="Open Sans"/>
          <w:b/>
          <w:sz w:val="21"/>
          <w:szCs w:val="21"/>
          <w:lang w:eastAsia="es-ES_tradnl"/>
        </w:rPr>
        <w:t>y242_9</w:t>
      </w:r>
      <w:r>
        <w:rPr>
          <w:rFonts w:ascii="Century Gothic" w:eastAsia="Times New Roman" w:hAnsi="Century Gothic" w:cs="Open Sans"/>
          <w:sz w:val="21"/>
          <w:szCs w:val="21"/>
          <w:lang w:eastAsia="es-ES_tradnl"/>
        </w:rPr>
        <w:t>”, donde el sufijo numérico que viene inmediatamente después del carácter guión bajo “</w:t>
      </w:r>
      <w:r w:rsidRPr="00F72632">
        <w:rPr>
          <w:rFonts w:ascii="Century Gothic" w:eastAsia="Times New Roman" w:hAnsi="Century Gothic" w:cs="Open Sans"/>
          <w:b/>
          <w:sz w:val="21"/>
          <w:szCs w:val="21"/>
          <w:lang w:eastAsia="es-ES_tradnl"/>
        </w:rPr>
        <w:t>_</w:t>
      </w:r>
      <w:r>
        <w:rPr>
          <w:rFonts w:ascii="Century Gothic" w:eastAsia="Times New Roman" w:hAnsi="Century Gothic" w:cs="Open Sans"/>
          <w:sz w:val="21"/>
          <w:szCs w:val="21"/>
          <w:lang w:eastAsia="es-ES_tradnl"/>
        </w:rPr>
        <w:t xml:space="preserve">” es justamente el número de la columna, desde la 1 hasta la 9, que poseen todas y c/u de las tablas de residuos no peligrosos, desechos especiales y desechos peligrosos, pertenecientes al Capítulo </w:t>
      </w:r>
      <w:r>
        <w:rPr>
          <w:rFonts w:ascii="Century Gothic" w:eastAsia="Times New Roman" w:hAnsi="Century Gothic" w:cs="Open Sans"/>
          <w:sz w:val="21"/>
          <w:szCs w:val="21"/>
          <w:lang w:eastAsia="es-ES_tradnl"/>
        </w:rPr>
        <w:lastRenderedPageBreak/>
        <w:t>10.III. Así, la variable “</w:t>
      </w:r>
      <w:r w:rsidRPr="00F72632">
        <w:rPr>
          <w:rFonts w:ascii="Century Gothic" w:eastAsia="Times New Roman" w:hAnsi="Century Gothic" w:cs="Open Sans"/>
          <w:b/>
          <w:sz w:val="21"/>
          <w:szCs w:val="21"/>
          <w:lang w:eastAsia="es-ES_tradnl"/>
        </w:rPr>
        <w:t>y242_8.2</w:t>
      </w:r>
      <w:r>
        <w:rPr>
          <w:rFonts w:ascii="Century Gothic" w:eastAsia="Times New Roman" w:hAnsi="Century Gothic" w:cs="Open Sans"/>
          <w:sz w:val="21"/>
          <w:szCs w:val="21"/>
          <w:lang w:eastAsia="es-ES_tradnl"/>
        </w:rPr>
        <w:t>” es la que almacena el porcentaje del desecho antes indicado que ha sido gestionado por un gestor autorizado. El número “</w:t>
      </w:r>
      <w:r w:rsidRPr="00F72632">
        <w:rPr>
          <w:rFonts w:ascii="Century Gothic" w:eastAsia="Times New Roman" w:hAnsi="Century Gothic" w:cs="Open Sans"/>
          <w:b/>
          <w:sz w:val="21"/>
          <w:szCs w:val="21"/>
          <w:lang w:eastAsia="es-ES_tradnl"/>
        </w:rPr>
        <w:t>242</w:t>
      </w:r>
      <w:r>
        <w:rPr>
          <w:rFonts w:ascii="Century Gothic" w:eastAsia="Times New Roman" w:hAnsi="Century Gothic" w:cs="Open Sans"/>
          <w:sz w:val="21"/>
          <w:szCs w:val="21"/>
          <w:lang w:eastAsia="es-ES_tradnl"/>
        </w:rPr>
        <w:t>” que aparece a modo de prefijo numérico, inmediatamente después de la letra “</w:t>
      </w:r>
      <w:r w:rsidRPr="00F72632">
        <w:rPr>
          <w:rFonts w:ascii="Century Gothic" w:eastAsia="Times New Roman" w:hAnsi="Century Gothic" w:cs="Open Sans"/>
          <w:b/>
          <w:sz w:val="21"/>
          <w:szCs w:val="21"/>
          <w:lang w:eastAsia="es-ES_tradnl"/>
        </w:rPr>
        <w:t>y</w:t>
      </w:r>
      <w:r>
        <w:rPr>
          <w:rFonts w:ascii="Century Gothic" w:eastAsia="Times New Roman" w:hAnsi="Century Gothic" w:cs="Open Sans"/>
          <w:sz w:val="21"/>
          <w:szCs w:val="21"/>
          <w:lang w:eastAsia="es-ES_tradnl"/>
        </w:rPr>
        <w:t>”, es el secuencial del desecho “</w:t>
      </w:r>
      <w:r w:rsidRPr="001A76A6">
        <w:rPr>
          <w:rFonts w:ascii="Century Gothic" w:eastAsia="Times New Roman" w:hAnsi="Century Gothic" w:cs="Open Sans"/>
          <w:b/>
          <w:sz w:val="21"/>
          <w:szCs w:val="21"/>
          <w:lang w:eastAsia="es-ES_tradnl"/>
        </w:rPr>
        <w:t>(NE-03) - Aceites minerales usados o gastados</w:t>
      </w:r>
      <w:r>
        <w:rPr>
          <w:rFonts w:ascii="Century Gothic" w:eastAsia="Times New Roman" w:hAnsi="Century Gothic" w:cs="Open Sans"/>
          <w:sz w:val="21"/>
          <w:szCs w:val="21"/>
          <w:lang w:eastAsia="es-ES_tradnl"/>
        </w:rPr>
        <w:t>”, según aparece en el catálogo de desechos peligrosos homologado internacionalmente por el Ministerio del Ambiente</w:t>
      </w:r>
      <w:r w:rsidR="00811C84">
        <w:rPr>
          <w:rFonts w:ascii="Century Gothic" w:eastAsia="Times New Roman" w:hAnsi="Century Gothic" w:cs="Open Sans"/>
          <w:sz w:val="21"/>
          <w:szCs w:val="21"/>
          <w:lang w:eastAsia="es-ES_tradnl"/>
        </w:rPr>
        <w:t>, Agua y Transición Ecológica</w:t>
      </w:r>
      <w:r>
        <w:rPr>
          <w:rFonts w:ascii="Century Gothic" w:eastAsia="Times New Roman" w:hAnsi="Century Gothic" w:cs="Open Sans"/>
          <w:sz w:val="21"/>
          <w:szCs w:val="21"/>
          <w:lang w:eastAsia="es-ES_tradnl"/>
        </w:rPr>
        <w:t xml:space="preserve"> </w:t>
      </w:r>
      <w:r w:rsidR="00811C84">
        <w:rPr>
          <w:rFonts w:ascii="Century Gothic" w:eastAsia="Times New Roman" w:hAnsi="Century Gothic" w:cs="Open Sans"/>
          <w:sz w:val="21"/>
          <w:szCs w:val="21"/>
          <w:lang w:eastAsia="es-ES_tradnl"/>
        </w:rPr>
        <w:t xml:space="preserve">(MAATE) </w:t>
      </w:r>
      <w:r>
        <w:rPr>
          <w:rFonts w:ascii="Century Gothic" w:eastAsia="Times New Roman" w:hAnsi="Century Gothic" w:cs="Open Sans"/>
          <w:sz w:val="21"/>
          <w:szCs w:val="21"/>
          <w:lang w:eastAsia="es-ES_tradnl"/>
        </w:rPr>
        <w:t>en nuestro país.</w:t>
      </w:r>
    </w:p>
    <w:p w14:paraId="40813EB8" w14:textId="77777777" w:rsidR="00964965" w:rsidRDefault="00964965" w:rsidP="00964965">
      <w:pPr>
        <w:jc w:val="both"/>
        <w:rPr>
          <w:rFonts w:ascii="Century Gothic" w:eastAsia="Times New Roman" w:hAnsi="Century Gothic" w:cs="Open Sans"/>
          <w:sz w:val="21"/>
          <w:szCs w:val="21"/>
          <w:lang w:eastAsia="es-ES_tradnl"/>
        </w:rPr>
      </w:pPr>
    </w:p>
    <w:p w14:paraId="394FF8E7" w14:textId="018DAB18"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De esta manera, si el usuario /analista de las BDD del Módulo Ambiental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necesitara procesar la BDD especial generada de desechos peligrosos, requerirá ejecutar el código ya mencionado, tanto para construir la Tabla 21 perteneciente al libro de Microsoft Excel® publicado con los tabulados e indicadores de la operación estadística, como para realizar otros procesamientos adicionales.</w:t>
      </w:r>
    </w:p>
    <w:p w14:paraId="182AA034" w14:textId="32D1F202" w:rsidR="00964965" w:rsidRPr="00F94E0B" w:rsidRDefault="00964965" w:rsidP="0053736A">
      <w:pPr>
        <w:pStyle w:val="Ttulo1"/>
        <w:rPr>
          <w:rFonts w:ascii="Century Gothic" w:eastAsiaTheme="minorHAnsi" w:hAnsi="Century Gothic" w:cstheme="minorBidi"/>
          <w:color w:val="767171" w:themeColor="background2" w:themeShade="80"/>
          <w:sz w:val="36"/>
          <w:szCs w:val="52"/>
          <w:lang w:val="es-EC" w:eastAsia="en-US" w:bidi="ar-SA"/>
        </w:rPr>
      </w:pPr>
      <w:bookmarkStart w:id="11" w:name="_Toc101364192"/>
      <w:r w:rsidRPr="00F94E0B">
        <w:rPr>
          <w:rFonts w:ascii="Century Gothic" w:eastAsiaTheme="minorHAnsi" w:hAnsi="Century Gothic" w:cstheme="minorBidi"/>
          <w:color w:val="767171" w:themeColor="background2" w:themeShade="80"/>
          <w:sz w:val="36"/>
          <w:szCs w:val="52"/>
          <w:lang w:val="es-EC" w:eastAsia="en-US" w:bidi="ar-SA"/>
        </w:rPr>
        <w:t xml:space="preserve">Recomendaciones generales previas al procesamiento de la BDD del Módulo Ambiental de la ENESEM </w:t>
      </w:r>
      <w:r w:rsidR="00D330B6" w:rsidRPr="00F94E0B">
        <w:rPr>
          <w:rFonts w:ascii="Century Gothic" w:eastAsiaTheme="minorHAnsi" w:hAnsi="Century Gothic" w:cstheme="minorBidi"/>
          <w:color w:val="767171" w:themeColor="background2" w:themeShade="80"/>
          <w:sz w:val="36"/>
          <w:szCs w:val="52"/>
          <w:lang w:val="es-EC" w:eastAsia="en-US" w:bidi="ar-SA"/>
        </w:rPr>
        <w:t>2020</w:t>
      </w:r>
      <w:bookmarkEnd w:id="11"/>
    </w:p>
    <w:p w14:paraId="3650B1D9" w14:textId="77777777" w:rsidR="00964965" w:rsidRDefault="00964965" w:rsidP="00964965">
      <w:pPr>
        <w:jc w:val="both"/>
        <w:rPr>
          <w:rFonts w:ascii="Century Gothic" w:eastAsia="Times New Roman" w:hAnsi="Century Gothic" w:cs="Open Sans"/>
          <w:sz w:val="21"/>
          <w:szCs w:val="21"/>
          <w:lang w:eastAsia="es-ES_tradnl"/>
        </w:rPr>
      </w:pPr>
    </w:p>
    <w:p w14:paraId="50C3AC32" w14:textId="708BB58A" w:rsidR="00964965" w:rsidRDefault="00964965" w:rsidP="00964965">
      <w:p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Aunque ya se han emitido, en una forma algo implícita, algunas recomendaciones importantes previas al procesamiento de la BDD del Módulo Ambiental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es importante tomar en cuenta estas otras recomendaciones adicionales:</w:t>
      </w:r>
    </w:p>
    <w:p w14:paraId="7DB1D63F" w14:textId="77777777" w:rsidR="00964965" w:rsidRDefault="00964965" w:rsidP="00964965">
      <w:pPr>
        <w:jc w:val="both"/>
        <w:rPr>
          <w:rFonts w:ascii="Century Gothic" w:eastAsia="Times New Roman" w:hAnsi="Century Gothic" w:cs="Open Sans"/>
          <w:sz w:val="21"/>
          <w:szCs w:val="21"/>
          <w:lang w:eastAsia="es-ES_tradnl"/>
        </w:rPr>
      </w:pPr>
    </w:p>
    <w:p w14:paraId="2A753828" w14:textId="77777777" w:rsidR="00964965" w:rsidRPr="004F03AF" w:rsidRDefault="00964965" w:rsidP="00964965">
      <w:pPr>
        <w:pStyle w:val="Prrafodelista"/>
        <w:numPr>
          <w:ilvl w:val="0"/>
          <w:numId w:val="16"/>
        </w:num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lastRenderedPageBreak/>
        <w:t xml:space="preserve">Iniciar con la lectura de los siguientes documentos que forman parte de la lista de publicables de la operación estadística: Principales resultados, Boletín técnico, tabulados y sintaxis. Se encuentran en el sitio web: </w:t>
      </w:r>
      <w:hyperlink r:id="rId13" w:history="1">
        <w:r w:rsidRPr="00F36D8B">
          <w:rPr>
            <w:rStyle w:val="Hipervnculo"/>
            <w:rFonts w:ascii="Century Gothic" w:eastAsia="Times New Roman" w:hAnsi="Century Gothic" w:cs="Open Sans"/>
            <w:sz w:val="21"/>
            <w:szCs w:val="21"/>
            <w:lang w:eastAsia="es-ES_tradnl"/>
          </w:rPr>
          <w:t>https://www.ecuadorencifras.gob.ec/encuesta-de-informacion-ambiental-economica-en-empresas/</w:t>
        </w:r>
      </w:hyperlink>
      <w:r>
        <w:rPr>
          <w:rFonts w:ascii="Century Gothic" w:eastAsia="Times New Roman" w:hAnsi="Century Gothic" w:cs="Open Sans"/>
          <w:sz w:val="21"/>
          <w:szCs w:val="21"/>
          <w:lang w:eastAsia="es-ES_tradnl"/>
        </w:rPr>
        <w:t>. De igual manera</w:t>
      </w:r>
      <w:r w:rsidRPr="004F03AF">
        <w:rPr>
          <w:rFonts w:ascii="Century Gothic" w:eastAsia="Times New Roman" w:hAnsi="Century Gothic" w:cs="Open Sans"/>
          <w:sz w:val="21"/>
          <w:szCs w:val="21"/>
          <w:lang w:eastAsia="es-ES_tradnl"/>
        </w:rPr>
        <w:t xml:space="preserve"> se recomienda descargarse el formulario y leer el documento de diseño muestral.</w:t>
      </w:r>
    </w:p>
    <w:p w14:paraId="6DF82760" w14:textId="77A0C097" w:rsidR="00964965" w:rsidRDefault="00964965" w:rsidP="00964965">
      <w:pPr>
        <w:pStyle w:val="Prrafodelista"/>
        <w:numPr>
          <w:ilvl w:val="0"/>
          <w:numId w:val="16"/>
        </w:numPr>
        <w:jc w:val="both"/>
        <w:rPr>
          <w:rFonts w:ascii="Century Gothic" w:eastAsia="Times New Roman" w:hAnsi="Century Gothic" w:cs="Open Sans"/>
          <w:sz w:val="21"/>
          <w:szCs w:val="21"/>
          <w:lang w:eastAsia="es-ES_tradnl"/>
        </w:rPr>
      </w:pPr>
      <w:r>
        <w:rPr>
          <w:rFonts w:ascii="Century Gothic" w:eastAsia="Times New Roman" w:hAnsi="Century Gothic" w:cs="Open Sans"/>
          <w:sz w:val="21"/>
          <w:szCs w:val="21"/>
          <w:lang w:eastAsia="es-ES_tradnl"/>
        </w:rPr>
        <w:t xml:space="preserve">Ejecutar la sintaxis de tabulados e indicadores del Módulo Ambiental de la ENESEM </w:t>
      </w:r>
      <w:r w:rsidR="00D330B6">
        <w:rPr>
          <w:rFonts w:ascii="Century Gothic" w:eastAsia="Times New Roman" w:hAnsi="Century Gothic" w:cs="Open Sans"/>
          <w:sz w:val="21"/>
          <w:szCs w:val="21"/>
          <w:lang w:eastAsia="es-ES_tradnl"/>
        </w:rPr>
        <w:t>2020</w:t>
      </w:r>
      <w:r>
        <w:rPr>
          <w:rFonts w:ascii="Century Gothic" w:eastAsia="Times New Roman" w:hAnsi="Century Gothic" w:cs="Open Sans"/>
          <w:sz w:val="21"/>
          <w:szCs w:val="21"/>
          <w:lang w:eastAsia="es-ES_tradnl"/>
        </w:rPr>
        <w:t xml:space="preserve">. Esta ejecución tiene que hacérsela por bloques de código. </w:t>
      </w:r>
      <w:r w:rsidR="00C176E7">
        <w:rPr>
          <w:rFonts w:ascii="Century Gothic" w:eastAsia="Times New Roman" w:hAnsi="Century Gothic" w:cs="Open Sans"/>
          <w:sz w:val="21"/>
          <w:szCs w:val="21"/>
          <w:lang w:eastAsia="es-ES_tradnl"/>
        </w:rPr>
        <w:t>Este código s</w:t>
      </w:r>
      <w:r>
        <w:rPr>
          <w:rFonts w:ascii="Century Gothic" w:eastAsia="Times New Roman" w:hAnsi="Century Gothic" w:cs="Open Sans"/>
          <w:sz w:val="21"/>
          <w:szCs w:val="21"/>
          <w:lang w:eastAsia="es-ES_tradnl"/>
        </w:rPr>
        <w:t>e ha comentado, de manera que cada bloque</w:t>
      </w:r>
      <w:r w:rsidR="00C176E7">
        <w:rPr>
          <w:rFonts w:ascii="Century Gothic" w:eastAsia="Times New Roman" w:hAnsi="Century Gothic" w:cs="Open Sans"/>
          <w:sz w:val="21"/>
          <w:szCs w:val="21"/>
          <w:lang w:eastAsia="es-ES_tradnl"/>
        </w:rPr>
        <w:t xml:space="preserve"> </w:t>
      </w:r>
      <w:r>
        <w:rPr>
          <w:rFonts w:ascii="Century Gothic" w:eastAsia="Times New Roman" w:hAnsi="Century Gothic" w:cs="Open Sans"/>
          <w:sz w:val="21"/>
          <w:szCs w:val="21"/>
          <w:lang w:eastAsia="es-ES_tradnl"/>
        </w:rPr>
        <w:t>está separado por comentarios</w:t>
      </w:r>
      <w:r w:rsidR="00C176E7">
        <w:rPr>
          <w:rFonts w:ascii="Century Gothic" w:eastAsia="Times New Roman" w:hAnsi="Century Gothic" w:cs="Open Sans"/>
          <w:sz w:val="21"/>
          <w:szCs w:val="21"/>
          <w:lang w:eastAsia="es-ES_tradnl"/>
        </w:rPr>
        <w:t xml:space="preserve"> que indican al lector la acción que realiza dicho bloque de código</w:t>
      </w:r>
      <w:r>
        <w:rPr>
          <w:rFonts w:ascii="Century Gothic" w:eastAsia="Times New Roman" w:hAnsi="Century Gothic" w:cs="Open Sans"/>
          <w:sz w:val="21"/>
          <w:szCs w:val="21"/>
          <w:lang w:eastAsia="es-ES_tradnl"/>
        </w:rPr>
        <w:t>. Típicamente, cada tabulado e indicador está membretado con los mismos códigos con los que se presenta en el publicable de Tabulados del sitio web de la operación estadística. Así, debería ejecutarse un bloque de código a la vez, y analizar los resultados arrojados por el procesador SPSS.</w:t>
      </w:r>
    </w:p>
    <w:p w14:paraId="333DC8F4" w14:textId="77777777" w:rsidR="00FC7BCB" w:rsidRPr="00FC7BCB" w:rsidRDefault="00964965" w:rsidP="00C20D84">
      <w:pPr>
        <w:pStyle w:val="Prrafodelista"/>
        <w:numPr>
          <w:ilvl w:val="0"/>
          <w:numId w:val="16"/>
        </w:numPr>
        <w:jc w:val="both"/>
        <w:rPr>
          <w:rFonts w:ascii="Century Gothic" w:hAnsi="Century Gothic"/>
          <w:color w:val="000000"/>
          <w:sz w:val="21"/>
          <w:szCs w:val="21"/>
          <w:lang w:val="es-PR"/>
        </w:rPr>
      </w:pPr>
      <w:r w:rsidRPr="00FC7BCB">
        <w:rPr>
          <w:rFonts w:ascii="Century Gothic" w:eastAsia="Times New Roman" w:hAnsi="Century Gothic" w:cs="Open Sans"/>
          <w:sz w:val="21"/>
          <w:szCs w:val="21"/>
          <w:lang w:eastAsia="es-ES_tradnl"/>
        </w:rPr>
        <w:t>Una vez ejecutada la sintaxis SPSS de tabulados e indicadores, se han reconstruido estos tabulados e indicadores por parte del usuario / analista. Entonces, puede modificarse el código para generar otros resultados, sobre todo agregados y desagregados que requiera o necesite el usuario / analista.</w:t>
      </w:r>
    </w:p>
    <w:p w14:paraId="75113EAC" w14:textId="64531840" w:rsidR="00964965" w:rsidRPr="00FC7BCB" w:rsidRDefault="00964965" w:rsidP="00C20D84">
      <w:pPr>
        <w:pStyle w:val="Prrafodelista"/>
        <w:numPr>
          <w:ilvl w:val="0"/>
          <w:numId w:val="16"/>
        </w:numPr>
        <w:jc w:val="both"/>
        <w:rPr>
          <w:rFonts w:ascii="Century Gothic" w:hAnsi="Century Gothic"/>
          <w:color w:val="000000"/>
          <w:sz w:val="21"/>
          <w:szCs w:val="21"/>
          <w:lang w:val="es-PR"/>
        </w:rPr>
      </w:pPr>
      <w:r w:rsidRPr="00FC7BCB">
        <w:rPr>
          <w:rFonts w:ascii="Century Gothic" w:eastAsia="Times New Roman" w:hAnsi="Century Gothic" w:cs="Open Sans"/>
          <w:sz w:val="21"/>
          <w:szCs w:val="21"/>
          <w:lang w:eastAsia="es-ES_tradnl"/>
        </w:rPr>
        <w:t xml:space="preserve">En caso de generarse alguna inquietud acerca del cálculo de algún tabulado o indicador de publicación, así como de cualquier otro resultado en otros publicables, como la presentación de los Principales resultados, o del Boletín técnico, contactarse con la página web del INEC: </w:t>
      </w:r>
      <w:hyperlink r:id="rId14" w:history="1">
        <w:r w:rsidRPr="00FC7BCB">
          <w:rPr>
            <w:rStyle w:val="Hipervnculo"/>
            <w:rFonts w:ascii="Century Gothic" w:eastAsia="Times New Roman" w:hAnsi="Century Gothic" w:cs="Open Sans"/>
            <w:sz w:val="21"/>
            <w:szCs w:val="21"/>
            <w:lang w:eastAsia="es-ES_tradnl"/>
          </w:rPr>
          <w:t>https://www.ecuadorencifras.gob</w:t>
        </w:r>
        <w:r w:rsidRPr="00FC7BCB">
          <w:rPr>
            <w:rStyle w:val="Hipervnculo"/>
            <w:rFonts w:ascii="Century Gothic" w:eastAsia="Times New Roman" w:hAnsi="Century Gothic" w:cs="Open Sans"/>
            <w:sz w:val="21"/>
            <w:szCs w:val="21"/>
            <w:lang w:eastAsia="es-ES_tradnl"/>
          </w:rPr>
          <w:lastRenderedPageBreak/>
          <w:t>.ec/estadisticas/</w:t>
        </w:r>
      </w:hyperlink>
      <w:r w:rsidRPr="00FC7BCB">
        <w:rPr>
          <w:rFonts w:ascii="Century Gothic" w:eastAsia="Times New Roman" w:hAnsi="Century Gothic" w:cs="Open Sans"/>
          <w:sz w:val="21"/>
          <w:szCs w:val="21"/>
          <w:lang w:eastAsia="es-ES_tradnl"/>
        </w:rPr>
        <w:t xml:space="preserve">, e ingresar al menú </w:t>
      </w:r>
      <w:r w:rsidRPr="00FC7BCB">
        <w:rPr>
          <w:rFonts w:ascii="Century Gothic" w:eastAsia="Times New Roman" w:hAnsi="Century Gothic" w:cs="Open Sans"/>
          <w:b/>
          <w:i/>
          <w:sz w:val="21"/>
          <w:szCs w:val="21"/>
          <w:u w:val="single"/>
          <w:lang w:eastAsia="es-ES_tradnl"/>
        </w:rPr>
        <w:t>Consultas especializadas</w:t>
      </w:r>
      <w:r w:rsidRPr="00FC7BCB">
        <w:rPr>
          <w:rFonts w:ascii="Century Gothic" w:eastAsia="Times New Roman" w:hAnsi="Century Gothic" w:cs="Open Sans"/>
          <w:sz w:val="21"/>
          <w:szCs w:val="21"/>
          <w:lang w:eastAsia="es-ES_tradnl"/>
        </w:rPr>
        <w:t xml:space="preserve">, en donde podrá escoger la opción </w:t>
      </w:r>
      <w:r w:rsidRPr="00FC7BCB">
        <w:rPr>
          <w:rFonts w:ascii="Century Gothic" w:eastAsia="Times New Roman" w:hAnsi="Century Gothic" w:cs="Open Sans"/>
          <w:i/>
          <w:sz w:val="21"/>
          <w:szCs w:val="21"/>
          <w:u w:val="single"/>
          <w:lang w:eastAsia="es-ES_tradnl"/>
        </w:rPr>
        <w:t>Requerimiento de Información</w:t>
      </w:r>
      <w:r w:rsidRPr="00FC7BCB">
        <w:rPr>
          <w:rFonts w:ascii="Century Gothic" w:eastAsia="Times New Roman" w:hAnsi="Century Gothic" w:cs="Open Sans"/>
          <w:sz w:val="21"/>
          <w:szCs w:val="21"/>
          <w:lang w:eastAsia="es-ES_tradnl"/>
        </w:rPr>
        <w:t>. Allí, se encontrará en el Sistema de Atención al Ciudadano, donde podrá realizar cualquier requerimiento de información personalizada, no solamente sobre el Módulo Ambiental de la ENESEM, sino sobre cualquier operación estadística gestionada por el INEC.</w:t>
      </w:r>
    </w:p>
    <w:p w14:paraId="1CD79CF7" w14:textId="77777777" w:rsidR="00964965" w:rsidRDefault="00964965" w:rsidP="00826E44">
      <w:pPr>
        <w:jc w:val="both"/>
        <w:rPr>
          <w:rFonts w:ascii="Century Gothic" w:hAnsi="Century Gothic"/>
          <w:color w:val="000000"/>
          <w:sz w:val="21"/>
          <w:szCs w:val="21"/>
          <w:lang w:val="es-PR"/>
        </w:rPr>
      </w:pPr>
    </w:p>
    <w:p w14:paraId="44155F1C" w14:textId="64F8B271" w:rsidR="00646F55" w:rsidRPr="00BA7CD2" w:rsidRDefault="00646F55" w:rsidP="00646F55">
      <w:pPr>
        <w:jc w:val="both"/>
        <w:rPr>
          <w:sz w:val="18"/>
        </w:rPr>
      </w:pPr>
    </w:p>
    <w:p w14:paraId="7E0AAC99" w14:textId="2C00021D" w:rsidR="00646F55" w:rsidRPr="0012411F" w:rsidRDefault="00646F55" w:rsidP="0012411F">
      <w:pPr>
        <w:jc w:val="both"/>
        <w:rPr>
          <w:rFonts w:ascii="Century Gothic" w:eastAsia="Times New Roman" w:hAnsi="Century Gothic" w:cs="Times New Roman"/>
          <w:color w:val="6E6E7C"/>
          <w:lang w:eastAsia="es-ES_tradnl"/>
        </w:rPr>
        <w:sectPr w:rsidR="00646F55" w:rsidRPr="0012411F" w:rsidSect="00870600">
          <w:type w:val="continuous"/>
          <w:pgSz w:w="11900" w:h="16840"/>
          <w:pgMar w:top="1417" w:right="1701" w:bottom="1417" w:left="1701" w:header="708" w:footer="708" w:gutter="0"/>
          <w:cols w:num="2" w:space="708"/>
          <w:titlePg/>
          <w:docGrid w:linePitch="360"/>
        </w:sectPr>
      </w:pPr>
    </w:p>
    <w:p w14:paraId="5EEF64B4" w14:textId="4DD7215B" w:rsidR="0007659A" w:rsidRDefault="00F94E0B">
      <w:r>
        <w:rPr>
          <w:noProof/>
          <w:lang w:eastAsia="es-EC"/>
        </w:rPr>
        <w:lastRenderedPageBreak/>
        <w:drawing>
          <wp:anchor distT="0" distB="0" distL="114300" distR="114300" simplePos="0" relativeHeight="251675648" behindDoc="1" locked="0" layoutInCell="1" allowOverlap="1" wp14:anchorId="51278104" wp14:editId="77F5993E">
            <wp:simplePos x="0" y="0"/>
            <wp:positionH relativeFrom="column">
              <wp:posOffset>-1066800</wp:posOffset>
            </wp:positionH>
            <wp:positionV relativeFrom="paragraph">
              <wp:posOffset>-895350</wp:posOffset>
            </wp:positionV>
            <wp:extent cx="7556500" cy="10680292"/>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pic:nvPicPr>
                  <pic:blipFill>
                    <a:blip r:embed="rId15">
                      <a:extLst>
                        <a:ext uri="{28A0092B-C50C-407E-A947-70E740481C1C}">
                          <a14:useLocalDpi xmlns:a14="http://schemas.microsoft.com/office/drawing/2010/main" val="0"/>
                        </a:ext>
                      </a:extLst>
                    </a:blip>
                    <a:stretch>
                      <a:fillRect/>
                    </a:stretch>
                  </pic:blipFill>
                  <pic:spPr>
                    <a:xfrm>
                      <a:off x="0" y="0"/>
                      <a:ext cx="7556500" cy="10680292"/>
                    </a:xfrm>
                    <a:prstGeom prst="rect">
                      <a:avLst/>
                    </a:prstGeom>
                  </pic:spPr>
                </pic:pic>
              </a:graphicData>
            </a:graphic>
            <wp14:sizeRelH relativeFrom="page">
              <wp14:pctWidth>0</wp14:pctWidth>
            </wp14:sizeRelH>
            <wp14:sizeRelV relativeFrom="page">
              <wp14:pctHeight>0</wp14:pctHeight>
            </wp14:sizeRelV>
          </wp:anchor>
        </w:drawing>
      </w:r>
    </w:p>
    <w:sectPr w:rsidR="0007659A" w:rsidSect="005B5BEB">
      <w:pgSz w:w="11900" w:h="16840"/>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19C8E83" w14:textId="77777777" w:rsidR="000152AD" w:rsidRDefault="000152AD" w:rsidP="0007659A">
      <w:r>
        <w:separator/>
      </w:r>
    </w:p>
  </w:endnote>
  <w:endnote w:type="continuationSeparator" w:id="0">
    <w:p w14:paraId="666B7269" w14:textId="77777777" w:rsidR="000152AD" w:rsidRDefault="000152AD" w:rsidP="000765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Open Sans">
    <w:altName w:val="Arial"/>
    <w:charset w:val="00"/>
    <w:family w:val="swiss"/>
    <w:pitch w:val="variable"/>
    <w:sig w:usb0="E00002EF" w:usb1="4000205B" w:usb2="00000028"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Nmerodepgina"/>
      </w:rPr>
      <w:id w:val="-1082980986"/>
      <w:docPartObj>
        <w:docPartGallery w:val="Page Numbers (Bottom of Page)"/>
        <w:docPartUnique/>
      </w:docPartObj>
    </w:sdtPr>
    <w:sdtEndPr>
      <w:rPr>
        <w:rStyle w:val="Nmerodepgina"/>
      </w:rPr>
    </w:sdtEndPr>
    <w:sdtContent>
      <w:p w14:paraId="4DF33258" w14:textId="60600C06" w:rsidR="0012411F" w:rsidRDefault="0012411F" w:rsidP="00646F55">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1AB28709" w14:textId="77777777" w:rsidR="0012411F" w:rsidRDefault="0012411F" w:rsidP="00B22906">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Nmerodepgina"/>
        <w:rFonts w:ascii="Century Gothic" w:hAnsi="Century Gothic"/>
        <w:b/>
        <w:bCs/>
        <w:color w:val="FFFFFF" w:themeColor="background1"/>
        <w:sz w:val="32"/>
        <w:szCs w:val="32"/>
      </w:rPr>
      <w:id w:val="268822441"/>
      <w:docPartObj>
        <w:docPartGallery w:val="Page Numbers (Bottom of Page)"/>
        <w:docPartUnique/>
      </w:docPartObj>
    </w:sdtPr>
    <w:sdtEndPr>
      <w:rPr>
        <w:rStyle w:val="Nmerodepgina"/>
      </w:rPr>
    </w:sdtEndPr>
    <w:sdtContent>
      <w:p w14:paraId="5071F3C7" w14:textId="75452BE5" w:rsidR="0012411F" w:rsidRPr="00AE3B69" w:rsidRDefault="0012411F" w:rsidP="00AE3B69">
        <w:pPr>
          <w:pStyle w:val="Piedepgina"/>
          <w:framePr w:wrap="none" w:vAnchor="text" w:hAnchor="page" w:x="10060" w:y="268"/>
          <w:rPr>
            <w:rStyle w:val="Nmerodepgina"/>
            <w:rFonts w:ascii="Century Gothic" w:hAnsi="Century Gothic"/>
            <w:b/>
            <w:bCs/>
            <w:color w:val="FFFFFF" w:themeColor="background1"/>
            <w:sz w:val="32"/>
            <w:szCs w:val="32"/>
          </w:rPr>
        </w:pPr>
        <w:r w:rsidRPr="00AE3B69">
          <w:rPr>
            <w:rStyle w:val="Nmerodepgina"/>
            <w:rFonts w:ascii="Century Gothic" w:hAnsi="Century Gothic"/>
            <w:b/>
            <w:bCs/>
            <w:color w:val="FFFFFF" w:themeColor="background1"/>
            <w:sz w:val="32"/>
            <w:szCs w:val="32"/>
          </w:rPr>
          <w:fldChar w:fldCharType="begin"/>
        </w:r>
        <w:r w:rsidRPr="00AE3B69">
          <w:rPr>
            <w:rStyle w:val="Nmerodepgina"/>
            <w:rFonts w:ascii="Century Gothic" w:hAnsi="Century Gothic"/>
            <w:b/>
            <w:bCs/>
            <w:color w:val="FFFFFF" w:themeColor="background1"/>
            <w:sz w:val="32"/>
            <w:szCs w:val="32"/>
          </w:rPr>
          <w:instrText xml:space="preserve"> PAGE </w:instrText>
        </w:r>
        <w:r w:rsidRPr="00AE3B69">
          <w:rPr>
            <w:rStyle w:val="Nmerodepgina"/>
            <w:rFonts w:ascii="Century Gothic" w:hAnsi="Century Gothic"/>
            <w:b/>
            <w:bCs/>
            <w:color w:val="FFFFFF" w:themeColor="background1"/>
            <w:sz w:val="32"/>
            <w:szCs w:val="32"/>
          </w:rPr>
          <w:fldChar w:fldCharType="separate"/>
        </w:r>
        <w:r w:rsidR="007F28E4">
          <w:rPr>
            <w:rStyle w:val="Nmerodepgina"/>
            <w:rFonts w:ascii="Century Gothic" w:hAnsi="Century Gothic"/>
            <w:b/>
            <w:bCs/>
            <w:noProof/>
            <w:color w:val="FFFFFF" w:themeColor="background1"/>
            <w:sz w:val="32"/>
            <w:szCs w:val="32"/>
          </w:rPr>
          <w:t>2</w:t>
        </w:r>
        <w:r w:rsidRPr="00AE3B69">
          <w:rPr>
            <w:rStyle w:val="Nmerodepgina"/>
            <w:rFonts w:ascii="Century Gothic" w:hAnsi="Century Gothic"/>
            <w:b/>
            <w:bCs/>
            <w:color w:val="FFFFFF" w:themeColor="background1"/>
            <w:sz w:val="32"/>
            <w:szCs w:val="32"/>
          </w:rPr>
          <w:fldChar w:fldCharType="end"/>
        </w:r>
      </w:p>
    </w:sdtContent>
  </w:sdt>
  <w:sdt>
    <w:sdtPr>
      <w:rPr>
        <w:rStyle w:val="Nmerodepgina"/>
        <w:rFonts w:ascii="Century Gothic" w:hAnsi="Century Gothic"/>
        <w:b/>
        <w:bCs/>
        <w:color w:val="646482"/>
        <w:sz w:val="32"/>
        <w:szCs w:val="32"/>
      </w:rPr>
      <w:id w:val="-977994534"/>
      <w:docPartObj>
        <w:docPartGallery w:val="Page Numbers (Bottom of Page)"/>
        <w:docPartUnique/>
      </w:docPartObj>
    </w:sdtPr>
    <w:sdtEndPr>
      <w:rPr>
        <w:rStyle w:val="Nmerodepgina"/>
      </w:rPr>
    </w:sdtEndPr>
    <w:sdtContent>
      <w:p w14:paraId="4CB494AB" w14:textId="77777777" w:rsidR="00F94E0B" w:rsidRPr="00732090" w:rsidRDefault="00F94E0B" w:rsidP="00F94E0B">
        <w:pPr>
          <w:pStyle w:val="Piedepgina"/>
          <w:framePr w:wrap="none" w:vAnchor="text" w:hAnchor="page" w:x="10218" w:y="1"/>
          <w:rPr>
            <w:rStyle w:val="Nmerodepgina"/>
            <w:rFonts w:ascii="Century Gothic" w:hAnsi="Century Gothic"/>
            <w:b/>
            <w:bCs/>
            <w:color w:val="646482"/>
            <w:sz w:val="32"/>
            <w:szCs w:val="32"/>
          </w:rPr>
        </w:pPr>
        <w:r w:rsidRPr="00732090">
          <w:rPr>
            <w:rStyle w:val="Nmerodepgina"/>
            <w:rFonts w:ascii="Century Gothic" w:hAnsi="Century Gothic"/>
            <w:b/>
            <w:bCs/>
            <w:color w:val="646482"/>
            <w:sz w:val="32"/>
            <w:szCs w:val="32"/>
          </w:rPr>
          <w:fldChar w:fldCharType="begin"/>
        </w:r>
        <w:r w:rsidRPr="00732090">
          <w:rPr>
            <w:rStyle w:val="Nmerodepgina"/>
            <w:rFonts w:ascii="Century Gothic" w:hAnsi="Century Gothic"/>
            <w:b/>
            <w:bCs/>
            <w:color w:val="646482"/>
            <w:sz w:val="32"/>
            <w:szCs w:val="32"/>
          </w:rPr>
          <w:instrText xml:space="preserve"> PAGE </w:instrText>
        </w:r>
        <w:r w:rsidRPr="00732090">
          <w:rPr>
            <w:rStyle w:val="Nmerodepgina"/>
            <w:rFonts w:ascii="Century Gothic" w:hAnsi="Century Gothic"/>
            <w:b/>
            <w:bCs/>
            <w:color w:val="646482"/>
            <w:sz w:val="32"/>
            <w:szCs w:val="32"/>
          </w:rPr>
          <w:fldChar w:fldCharType="separate"/>
        </w:r>
        <w:r w:rsidR="007F28E4">
          <w:rPr>
            <w:rStyle w:val="Nmerodepgina"/>
            <w:rFonts w:ascii="Century Gothic" w:hAnsi="Century Gothic"/>
            <w:b/>
            <w:bCs/>
            <w:noProof/>
            <w:color w:val="646482"/>
            <w:sz w:val="32"/>
            <w:szCs w:val="32"/>
          </w:rPr>
          <w:t>2</w:t>
        </w:r>
        <w:r w:rsidRPr="00732090">
          <w:rPr>
            <w:rStyle w:val="Nmerodepgina"/>
            <w:rFonts w:ascii="Century Gothic" w:hAnsi="Century Gothic"/>
            <w:b/>
            <w:bCs/>
            <w:color w:val="646482"/>
            <w:sz w:val="32"/>
            <w:szCs w:val="32"/>
          </w:rPr>
          <w:fldChar w:fldCharType="end"/>
        </w:r>
      </w:p>
    </w:sdtContent>
  </w:sdt>
  <w:p w14:paraId="03DD00BD" w14:textId="77777777" w:rsidR="0012411F" w:rsidRPr="00AE3B69" w:rsidRDefault="0012411F" w:rsidP="00B22906">
    <w:pPr>
      <w:pStyle w:val="Piedepgina"/>
      <w:ind w:right="360"/>
      <w:rPr>
        <w:rFonts w:ascii="Century Gothic" w:hAnsi="Century Gothic"/>
        <w:b/>
        <w:bCs/>
        <w:color w:val="FFFFFF" w:themeColor="background1"/>
        <w:sz w:val="32"/>
        <w:szCs w:val="3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0464C88" w14:textId="77777777" w:rsidR="000152AD" w:rsidRDefault="000152AD" w:rsidP="0007659A">
      <w:r>
        <w:separator/>
      </w:r>
    </w:p>
  </w:footnote>
  <w:footnote w:type="continuationSeparator" w:id="0">
    <w:p w14:paraId="27D08B45" w14:textId="77777777" w:rsidR="000152AD" w:rsidRDefault="000152AD" w:rsidP="0007659A">
      <w:r>
        <w:continuationSeparator/>
      </w:r>
    </w:p>
  </w:footnote>
  <w:footnote w:id="1">
    <w:p w14:paraId="05E1C497" w14:textId="27B9231E" w:rsidR="00964965" w:rsidRPr="007F24C1" w:rsidRDefault="00964965" w:rsidP="00964965">
      <w:pPr>
        <w:pStyle w:val="Textonotapie"/>
        <w:jc w:val="both"/>
        <w:rPr>
          <w:lang w:val="es-PR"/>
        </w:rPr>
      </w:pPr>
      <w:r w:rsidRPr="00A559BF">
        <w:rPr>
          <w:rStyle w:val="Refdenotaalpie"/>
          <w:sz w:val="18"/>
        </w:rPr>
        <w:footnoteRef/>
      </w:r>
      <w:r>
        <w:t xml:space="preserve"> </w:t>
      </w:r>
      <w:r w:rsidRPr="007F24C1">
        <w:rPr>
          <w:sz w:val="16"/>
          <w:lang w:val="es-PR"/>
        </w:rPr>
        <w:t>El recuento de empresas efectivas para los módulos económico y laboral es de 37</w:t>
      </w:r>
      <w:r w:rsidR="00827B19">
        <w:rPr>
          <w:sz w:val="16"/>
          <w:lang w:val="es-PR"/>
        </w:rPr>
        <w:t>82</w:t>
      </w:r>
      <w:r w:rsidRPr="007F24C1">
        <w:rPr>
          <w:sz w:val="16"/>
          <w:lang w:val="es-PR"/>
        </w:rPr>
        <w:t xml:space="preserve">. De estas, </w:t>
      </w:r>
      <w:r w:rsidR="00827B19">
        <w:rPr>
          <w:sz w:val="16"/>
          <w:lang w:val="es-PR"/>
        </w:rPr>
        <w:t>5</w:t>
      </w:r>
      <w:r w:rsidRPr="007F24C1">
        <w:rPr>
          <w:sz w:val="16"/>
          <w:lang w:val="es-PR"/>
        </w:rPr>
        <w:t xml:space="preserve"> no tienen información ambiental, por efecto de cobertura parcial de la parte económica. </w:t>
      </w:r>
      <w:r>
        <w:rPr>
          <w:sz w:val="16"/>
          <w:lang w:val="es-PR"/>
        </w:rPr>
        <w:t>Por tanto, el universo sobre el cual se realizan los cálculos ambientales es de 37</w:t>
      </w:r>
      <w:r w:rsidR="00827B19">
        <w:rPr>
          <w:sz w:val="16"/>
          <w:lang w:val="es-PR"/>
        </w:rPr>
        <w:t>77</w:t>
      </w:r>
      <w:r>
        <w:rPr>
          <w:sz w:val="16"/>
          <w:lang w:val="es-PR"/>
        </w:rPr>
        <w:t xml:space="preserve"> empresas muestrales, y 1</w:t>
      </w:r>
      <w:r w:rsidR="00D81690">
        <w:rPr>
          <w:sz w:val="16"/>
          <w:lang w:val="es-PR"/>
        </w:rPr>
        <w:t>2238</w:t>
      </w:r>
      <w:r>
        <w:rPr>
          <w:sz w:val="16"/>
          <w:lang w:val="es-PR"/>
        </w:rPr>
        <w:t xml:space="preserve"> empresas expandidas por el factor de expansión.</w:t>
      </w:r>
    </w:p>
  </w:footnote>
  <w:footnote w:id="2">
    <w:p w14:paraId="30F4CE7C" w14:textId="77777777" w:rsidR="00964965" w:rsidRDefault="00964965" w:rsidP="00964965">
      <w:pPr>
        <w:pStyle w:val="Textonotapie"/>
        <w:jc w:val="both"/>
        <w:rPr>
          <w:noProof/>
          <w:sz w:val="16"/>
          <w:szCs w:val="16"/>
          <w:lang w:val="es-PR"/>
        </w:rPr>
      </w:pPr>
      <w:r w:rsidRPr="00C04F88">
        <w:rPr>
          <w:rStyle w:val="Refdenotaalpie"/>
          <w:sz w:val="18"/>
        </w:rPr>
        <w:footnoteRef/>
      </w:r>
      <w:r>
        <w:t xml:space="preserve"> </w:t>
      </w:r>
      <w:r w:rsidRPr="00C04F88">
        <w:rPr>
          <w:sz w:val="16"/>
          <w:szCs w:val="16"/>
        </w:rPr>
        <w:t>La BDD del Módulo Ambiental de la ENESEM</w:t>
      </w:r>
      <w:r>
        <w:rPr>
          <w:sz w:val="16"/>
          <w:szCs w:val="16"/>
        </w:rPr>
        <w:t xml:space="preserve"> se entrega, a través de la página web de la operación estadística, en dos versiones: SPSS y CSV. El formato SPSS puede abrirse en cualquier versión SPSS 18 o posterior, mientras que el formato abierto CSV facilita el trabajo de procesamiento de la BDD en plataformas como Microsoft Excel® o en otras más avanzadas, como Stata, R o Python. </w:t>
      </w:r>
      <w:r w:rsidRPr="00CB0B08">
        <w:rPr>
          <w:noProof/>
          <w:sz w:val="16"/>
          <w:szCs w:val="16"/>
          <w:lang w:val="es-PR"/>
        </w:rPr>
        <w:t>Sitio web:</w:t>
      </w:r>
    </w:p>
    <w:p w14:paraId="413F8DBA" w14:textId="7DB27036" w:rsidR="00964965" w:rsidRPr="00CB0B08" w:rsidRDefault="000152AD" w:rsidP="00964965">
      <w:pPr>
        <w:pStyle w:val="Textonotapie"/>
        <w:jc w:val="both"/>
        <w:rPr>
          <w:lang w:val="es-PR"/>
        </w:rPr>
      </w:pPr>
      <w:hyperlink r:id="rId1" w:history="1">
        <w:r w:rsidR="00964965" w:rsidRPr="00CB0B08">
          <w:rPr>
            <w:rStyle w:val="Hipervnculo"/>
            <w:noProof/>
            <w:sz w:val="16"/>
            <w:szCs w:val="16"/>
            <w:lang w:val="es-PR"/>
          </w:rPr>
          <w:t>https://www.ecuadorencifras.gob.ec/encuesta-de-informacion-ambiental-economica-en-empresas/</w:t>
        </w:r>
      </w:hyperlink>
      <w:r w:rsidR="00964965" w:rsidRPr="00CB0B08">
        <w:rPr>
          <w:noProof/>
          <w:sz w:val="16"/>
          <w:szCs w:val="16"/>
          <w:lang w:val="es-PR"/>
        </w:rPr>
        <w:t>, apartado</w:t>
      </w:r>
      <w:r w:rsidR="00964965">
        <w:rPr>
          <w:noProof/>
          <w:sz w:val="16"/>
          <w:szCs w:val="16"/>
          <w:lang w:val="es-PR"/>
        </w:rPr>
        <w:t xml:space="preserve"> </w:t>
      </w:r>
      <w:r w:rsidR="00964965" w:rsidRPr="00CB0B08">
        <w:rPr>
          <w:i/>
          <w:noProof/>
          <w:sz w:val="16"/>
          <w:szCs w:val="16"/>
          <w:u w:val="single"/>
          <w:lang w:val="es-PR"/>
        </w:rPr>
        <w:t>Base de datos</w:t>
      </w:r>
      <w:r w:rsidR="00964965">
        <w:rPr>
          <w:noProof/>
          <w:sz w:val="16"/>
          <w:szCs w:val="16"/>
          <w:lang w:val="es-PR"/>
        </w:rPr>
        <w:t>.</w:t>
      </w:r>
    </w:p>
  </w:footnote>
  <w:footnote w:id="3">
    <w:p w14:paraId="3E2CED3D" w14:textId="77777777" w:rsidR="00964965" w:rsidRPr="009B0D47" w:rsidRDefault="00964965" w:rsidP="00964965">
      <w:pPr>
        <w:pStyle w:val="Textonotapie"/>
        <w:jc w:val="both"/>
      </w:pPr>
      <w:r w:rsidRPr="00A559BF">
        <w:rPr>
          <w:rStyle w:val="Refdenotaalpie"/>
          <w:sz w:val="18"/>
        </w:rPr>
        <w:footnoteRef/>
      </w:r>
      <w:r w:rsidRPr="009B0D47">
        <w:rPr>
          <w:sz w:val="16"/>
          <w:szCs w:val="16"/>
        </w:rPr>
        <w:t xml:space="preserve"> Por </w:t>
      </w:r>
      <w:r w:rsidRPr="009B0D47">
        <w:rPr>
          <w:i/>
          <w:sz w:val="16"/>
          <w:szCs w:val="16"/>
          <w:u w:val="single"/>
        </w:rPr>
        <w:t>valores absolutos</w:t>
      </w:r>
      <w:r w:rsidRPr="009B0D47">
        <w:rPr>
          <w:sz w:val="16"/>
          <w:szCs w:val="16"/>
        </w:rPr>
        <w:t xml:space="preserve"> se entiende todo dato que tiene cantidad y unidad de medida, como 2500 GWh / año de energía. En contraste, los demás valores calculados serán de tipo </w:t>
      </w:r>
      <w:r w:rsidRPr="009B0D47">
        <w:rPr>
          <w:i/>
          <w:sz w:val="16"/>
          <w:szCs w:val="16"/>
          <w:u w:val="single"/>
        </w:rPr>
        <w:t>relativo o porcentual</w:t>
      </w:r>
      <w:r w:rsidRPr="009B0D47">
        <w:rPr>
          <w:sz w:val="16"/>
          <w:szCs w:val="16"/>
        </w:rPr>
        <w:t xml:space="preserve">, </w:t>
      </w:r>
      <w:r>
        <w:rPr>
          <w:sz w:val="16"/>
          <w:szCs w:val="16"/>
        </w:rPr>
        <w:t>c</w:t>
      </w:r>
      <w:r w:rsidRPr="009B0D47">
        <w:rPr>
          <w:sz w:val="16"/>
          <w:szCs w:val="16"/>
        </w:rPr>
        <w:t>omo puede ser el valor 34.5% de la energía anual consumida.</w:t>
      </w:r>
    </w:p>
  </w:footnote>
  <w:footnote w:id="4">
    <w:p w14:paraId="5C9620BD" w14:textId="54B264C2" w:rsidR="00964965" w:rsidRPr="00A01BAF" w:rsidRDefault="00964965" w:rsidP="00964965">
      <w:pPr>
        <w:pStyle w:val="Textonotapie"/>
        <w:jc w:val="both"/>
        <w:rPr>
          <w:lang w:val="es-PR"/>
        </w:rPr>
      </w:pPr>
      <w:r w:rsidRPr="00A559BF">
        <w:rPr>
          <w:rStyle w:val="Refdenotaalpie"/>
          <w:sz w:val="18"/>
        </w:rPr>
        <w:footnoteRef/>
      </w:r>
      <w:r>
        <w:rPr>
          <w:sz w:val="16"/>
        </w:rPr>
        <w:t xml:space="preserve"> </w:t>
      </w:r>
      <w:r w:rsidRPr="00A01BAF">
        <w:rPr>
          <w:sz w:val="16"/>
          <w:lang w:val="es-PR"/>
        </w:rPr>
        <w:t>La variable “</w:t>
      </w:r>
      <w:r w:rsidRPr="004A0BD8">
        <w:rPr>
          <w:i/>
          <w:sz w:val="16"/>
          <w:lang w:val="es-PR"/>
        </w:rPr>
        <w:t>Ventas</w:t>
      </w:r>
      <w:r>
        <w:rPr>
          <w:i/>
          <w:sz w:val="16"/>
          <w:lang w:val="es-PR"/>
        </w:rPr>
        <w:t xml:space="preserve"> netas</w:t>
      </w:r>
      <w:r w:rsidRPr="00A01BAF">
        <w:rPr>
          <w:sz w:val="16"/>
          <w:lang w:val="es-PR"/>
        </w:rPr>
        <w:t>”, junto con la variable “</w:t>
      </w:r>
      <w:r w:rsidRPr="004A0BD8">
        <w:rPr>
          <w:i/>
          <w:sz w:val="16"/>
          <w:lang w:val="es-PR"/>
        </w:rPr>
        <w:t>Personal</w:t>
      </w:r>
      <w:r w:rsidRPr="00A01BAF">
        <w:rPr>
          <w:sz w:val="16"/>
          <w:lang w:val="es-PR"/>
        </w:rPr>
        <w:t>”, ambas recabadas en el Directorio Empresarial desde registros administrativos</w:t>
      </w:r>
      <w:r>
        <w:rPr>
          <w:sz w:val="16"/>
          <w:lang w:val="es-PR"/>
        </w:rPr>
        <w:t xml:space="preserve"> como los del SRI, son las que sirven para definir el tamaño de la empresa. Para mayor información sobre este tema, favo</w:t>
      </w:r>
      <w:r w:rsidR="00CE1805">
        <w:rPr>
          <w:sz w:val="16"/>
          <w:lang w:val="es-PR"/>
        </w:rPr>
        <w:t>r revise</w:t>
      </w:r>
      <w:r>
        <w:rPr>
          <w:sz w:val="16"/>
          <w:lang w:val="es-PR"/>
        </w:rPr>
        <w:t xml:space="preserve"> </w:t>
      </w:r>
      <w:r w:rsidR="00CE1805">
        <w:rPr>
          <w:sz w:val="16"/>
          <w:lang w:val="es-PR"/>
        </w:rPr>
        <w:t>e</w:t>
      </w:r>
      <w:r>
        <w:rPr>
          <w:sz w:val="16"/>
          <w:lang w:val="es-PR"/>
        </w:rPr>
        <w:t>l siguiente documento:</w:t>
      </w:r>
      <w:r w:rsidRPr="00A01BAF">
        <w:rPr>
          <w:sz w:val="12"/>
          <w:lang w:val="es-PR"/>
        </w:rPr>
        <w:t xml:space="preserve"> </w:t>
      </w:r>
      <w:r>
        <w:rPr>
          <w:noProof/>
          <w:sz w:val="16"/>
        </w:rPr>
        <w:t>IN</w:t>
      </w:r>
      <w:r w:rsidRPr="00A01BAF">
        <w:rPr>
          <w:noProof/>
          <w:sz w:val="16"/>
        </w:rPr>
        <w:t>EC. (202</w:t>
      </w:r>
      <w:r w:rsidR="001C6732">
        <w:rPr>
          <w:noProof/>
          <w:sz w:val="16"/>
        </w:rPr>
        <w:t>2</w:t>
      </w:r>
      <w:r w:rsidRPr="00A01BAF">
        <w:rPr>
          <w:noProof/>
          <w:sz w:val="16"/>
        </w:rPr>
        <w:t xml:space="preserve">). </w:t>
      </w:r>
      <w:r w:rsidRPr="00A01BAF">
        <w:rPr>
          <w:i/>
          <w:iCs/>
          <w:noProof/>
          <w:sz w:val="16"/>
        </w:rPr>
        <w:t>Metodología de la ENESEM 20</w:t>
      </w:r>
      <w:r w:rsidR="001C6732">
        <w:rPr>
          <w:i/>
          <w:iCs/>
          <w:noProof/>
          <w:sz w:val="16"/>
        </w:rPr>
        <w:t>20</w:t>
      </w:r>
      <w:r w:rsidRPr="00A01BAF">
        <w:rPr>
          <w:i/>
          <w:iCs/>
          <w:noProof/>
          <w:sz w:val="16"/>
        </w:rPr>
        <w:t>.</w:t>
      </w:r>
      <w:r w:rsidRPr="00A01BAF">
        <w:rPr>
          <w:noProof/>
          <w:sz w:val="16"/>
        </w:rPr>
        <w:t xml:space="preserve"> INEC, Dirección de Estadísticas Económicas - DECON, Quito. Recuperado el </w:t>
      </w:r>
      <w:r w:rsidR="001C6732">
        <w:rPr>
          <w:noProof/>
          <w:sz w:val="16"/>
        </w:rPr>
        <w:t>1</w:t>
      </w:r>
      <w:r w:rsidRPr="00A01BAF">
        <w:rPr>
          <w:noProof/>
          <w:sz w:val="16"/>
        </w:rPr>
        <w:t xml:space="preserve">1 de abril de 2021, de </w:t>
      </w:r>
      <w:hyperlink r:id="rId2" w:history="1">
        <w:r w:rsidRPr="00A01BAF">
          <w:rPr>
            <w:rStyle w:val="Hipervnculo"/>
            <w:noProof/>
            <w:sz w:val="16"/>
          </w:rPr>
          <w:t>http://www.ecuadorencifras.gob.ec/documentos/web-inec/Estadisticas_Economicas/Encuesta_Estructural_Empresarial/2019/2019_ENESEM_Metodologia.pdf</w:t>
        </w:r>
      </w:hyperlink>
    </w:p>
  </w:footnote>
  <w:footnote w:id="5">
    <w:p w14:paraId="0672DBDD" w14:textId="61AFFFAB" w:rsidR="00964965" w:rsidRDefault="00964965" w:rsidP="00964965">
      <w:pPr>
        <w:pStyle w:val="Textonotapie"/>
        <w:jc w:val="both"/>
        <w:rPr>
          <w:noProof/>
          <w:sz w:val="16"/>
          <w:szCs w:val="16"/>
        </w:rPr>
      </w:pPr>
      <w:r w:rsidRPr="00A559BF">
        <w:rPr>
          <w:rStyle w:val="Refdenotaalpie"/>
          <w:sz w:val="18"/>
          <w:szCs w:val="16"/>
        </w:rPr>
        <w:footnoteRef/>
      </w:r>
      <w:r w:rsidRPr="00A559BF">
        <w:rPr>
          <w:sz w:val="16"/>
          <w:szCs w:val="16"/>
        </w:rPr>
        <w:t xml:space="preserve"> </w:t>
      </w:r>
      <w:r w:rsidRPr="00A559BF">
        <w:rPr>
          <w:sz w:val="16"/>
          <w:szCs w:val="16"/>
          <w:lang w:val="es-PR"/>
        </w:rPr>
        <w:t>Para mayor información, consultar la página web del Módulo Ambiental de la ENESEM 20</w:t>
      </w:r>
      <w:r w:rsidR="00343D58">
        <w:rPr>
          <w:sz w:val="16"/>
          <w:szCs w:val="16"/>
          <w:lang w:val="es-PR"/>
        </w:rPr>
        <w:t>20</w:t>
      </w:r>
      <w:r w:rsidRPr="00A559BF">
        <w:rPr>
          <w:sz w:val="16"/>
          <w:szCs w:val="16"/>
          <w:lang w:val="es-PR"/>
        </w:rPr>
        <w:t xml:space="preserve">, en sus apartados de: </w:t>
      </w:r>
      <w:r w:rsidRPr="00324CA8">
        <w:rPr>
          <w:i/>
          <w:sz w:val="16"/>
          <w:szCs w:val="16"/>
          <w:u w:val="single"/>
          <w:lang w:val="es-PR"/>
        </w:rPr>
        <w:t>Tabulados</w:t>
      </w:r>
      <w:r w:rsidRPr="00A559BF">
        <w:rPr>
          <w:sz w:val="16"/>
          <w:szCs w:val="16"/>
          <w:lang w:val="es-PR"/>
        </w:rPr>
        <w:t xml:space="preserve">, donde se puede descargar la versión en Microsoft Excel® </w:t>
      </w:r>
      <w:r w:rsidRPr="00A559BF">
        <w:rPr>
          <w:noProof/>
          <w:sz w:val="16"/>
          <w:szCs w:val="16"/>
        </w:rPr>
        <w:t>de los tabulados e indicadores de la operación</w:t>
      </w:r>
      <w:r w:rsidRPr="00A559BF">
        <w:rPr>
          <w:sz w:val="16"/>
          <w:szCs w:val="16"/>
          <w:lang w:val="es-PR"/>
        </w:rPr>
        <w:t xml:space="preserve"> </w:t>
      </w:r>
      <w:r w:rsidRPr="00A559BF">
        <w:rPr>
          <w:noProof/>
          <w:sz w:val="16"/>
          <w:szCs w:val="16"/>
        </w:rPr>
        <w:t xml:space="preserve">estadística, así como el apartado </w:t>
      </w:r>
      <w:r w:rsidRPr="00324CA8">
        <w:rPr>
          <w:i/>
          <w:noProof/>
          <w:sz w:val="16"/>
          <w:szCs w:val="16"/>
          <w:u w:val="single"/>
        </w:rPr>
        <w:t>Sintaxis</w:t>
      </w:r>
      <w:r w:rsidRPr="00A559BF">
        <w:rPr>
          <w:noProof/>
          <w:sz w:val="16"/>
          <w:szCs w:val="16"/>
        </w:rPr>
        <w:t>, en el cual se puede descargar el archivo de sintaxis en lenguaje de programación SPSS 18+.</w:t>
      </w:r>
    </w:p>
    <w:p w14:paraId="07E272CF" w14:textId="77777777" w:rsidR="004D2A8F" w:rsidRPr="00D66FF2" w:rsidRDefault="00964965" w:rsidP="00964965">
      <w:pPr>
        <w:pStyle w:val="Textonotapie"/>
        <w:jc w:val="both"/>
        <w:rPr>
          <w:noProof/>
          <w:sz w:val="16"/>
          <w:szCs w:val="16"/>
          <w:lang w:val="es-PR"/>
        </w:rPr>
      </w:pPr>
      <w:r w:rsidRPr="00D66FF2">
        <w:rPr>
          <w:noProof/>
          <w:sz w:val="16"/>
          <w:szCs w:val="16"/>
          <w:lang w:val="es-PR"/>
        </w:rPr>
        <w:t>Sitio web:</w:t>
      </w:r>
    </w:p>
    <w:p w14:paraId="7F6961A8" w14:textId="645F57BE" w:rsidR="00964965" w:rsidRPr="00D66FF2" w:rsidRDefault="000152AD" w:rsidP="00964965">
      <w:pPr>
        <w:pStyle w:val="Textonotapie"/>
        <w:jc w:val="both"/>
        <w:rPr>
          <w:sz w:val="16"/>
          <w:szCs w:val="16"/>
          <w:lang w:val="es-PR"/>
        </w:rPr>
      </w:pPr>
      <w:hyperlink r:id="rId3" w:history="1">
        <w:r w:rsidR="00964965" w:rsidRPr="00D66FF2">
          <w:rPr>
            <w:rStyle w:val="Hipervnculo"/>
            <w:noProof/>
            <w:sz w:val="16"/>
            <w:szCs w:val="16"/>
            <w:lang w:val="es-PR"/>
          </w:rPr>
          <w:t>https://www.ecuadorencifras.gob.ec/encuesta-de-informacion-ambiental-economica-en-empresas/</w:t>
        </w:r>
      </w:hyperlink>
    </w:p>
  </w:footnote>
  <w:footnote w:id="6">
    <w:p w14:paraId="08D468F7" w14:textId="37B291E7" w:rsidR="00964965" w:rsidRPr="00196EFE" w:rsidRDefault="00964965" w:rsidP="00964965">
      <w:pPr>
        <w:pStyle w:val="Textonotapie"/>
        <w:jc w:val="both"/>
        <w:rPr>
          <w:lang w:val="es-PR"/>
        </w:rPr>
      </w:pPr>
      <w:r w:rsidRPr="00196EFE">
        <w:rPr>
          <w:rStyle w:val="Refdenotaalpie"/>
          <w:sz w:val="18"/>
        </w:rPr>
        <w:footnoteRef/>
      </w:r>
      <w:r>
        <w:t xml:space="preserve"> </w:t>
      </w:r>
      <w:r>
        <w:rPr>
          <w:sz w:val="16"/>
          <w:szCs w:val="16"/>
          <w:lang w:val="es-PR"/>
        </w:rPr>
        <w:t>Se recomienda</w:t>
      </w:r>
      <w:r w:rsidRPr="00A559BF">
        <w:rPr>
          <w:sz w:val="16"/>
          <w:szCs w:val="16"/>
          <w:lang w:val="es-PR"/>
        </w:rPr>
        <w:t xml:space="preserve"> </w:t>
      </w:r>
      <w:r>
        <w:rPr>
          <w:sz w:val="16"/>
          <w:szCs w:val="16"/>
          <w:lang w:val="es-PR"/>
        </w:rPr>
        <w:t xml:space="preserve">revisar, en </w:t>
      </w:r>
      <w:r w:rsidRPr="00A559BF">
        <w:rPr>
          <w:sz w:val="16"/>
          <w:szCs w:val="16"/>
          <w:lang w:val="es-PR"/>
        </w:rPr>
        <w:t>la página web del Módulo Ambiental de la ENESEM 20</w:t>
      </w:r>
      <w:r w:rsidR="00EE6A37">
        <w:rPr>
          <w:sz w:val="16"/>
          <w:szCs w:val="16"/>
          <w:lang w:val="es-PR"/>
        </w:rPr>
        <w:t>20</w:t>
      </w:r>
      <w:r w:rsidRPr="00A559BF">
        <w:rPr>
          <w:sz w:val="16"/>
          <w:szCs w:val="16"/>
          <w:lang w:val="es-PR"/>
        </w:rPr>
        <w:t>,</w:t>
      </w:r>
      <w:r>
        <w:rPr>
          <w:sz w:val="16"/>
          <w:szCs w:val="16"/>
          <w:lang w:val="es-PR"/>
        </w:rPr>
        <w:t xml:space="preserve"> el apartado </w:t>
      </w:r>
      <w:r w:rsidRPr="00196EFE">
        <w:rPr>
          <w:i/>
          <w:sz w:val="16"/>
          <w:szCs w:val="16"/>
          <w:u w:val="single"/>
          <w:lang w:val="es-PR"/>
        </w:rPr>
        <w:t>Boletín técnico</w:t>
      </w:r>
      <w:r>
        <w:rPr>
          <w:sz w:val="16"/>
          <w:szCs w:val="16"/>
          <w:lang w:val="es-PR"/>
        </w:rPr>
        <w:t>, en donde se realizan importantes análisis descriptivos que pueden servir de base para análisis más complejos sobre la temática ambiental de las empresas del país. Además, dentro del archivo de sintaxis de tabulados e indicadores, se encuentra al final el código SPSS de construcción del Impacto Ambiental agregado 20</w:t>
      </w:r>
      <w:r w:rsidR="00EE6A37">
        <w:rPr>
          <w:sz w:val="16"/>
          <w:szCs w:val="16"/>
          <w:lang w:val="es-PR"/>
        </w:rPr>
        <w:t>20</w:t>
      </w:r>
      <w:r>
        <w:rPr>
          <w:sz w:val="16"/>
          <w:szCs w:val="16"/>
          <w:lang w:val="es-PR"/>
        </w:rPr>
        <w:t>. Se recomienda revisar el código para tener una mejor idea de lo que mide este constructo.</w:t>
      </w:r>
    </w:p>
  </w:footnote>
  <w:footnote w:id="7">
    <w:p w14:paraId="57CB73D1" w14:textId="77777777" w:rsidR="00964965" w:rsidRPr="004F03AF" w:rsidRDefault="00964965" w:rsidP="00964965">
      <w:pPr>
        <w:pStyle w:val="Textonotapie"/>
        <w:jc w:val="both"/>
        <w:rPr>
          <w:sz w:val="16"/>
          <w:szCs w:val="16"/>
          <w:lang w:val="es-PR"/>
        </w:rPr>
      </w:pPr>
      <w:r w:rsidRPr="004F03AF">
        <w:rPr>
          <w:rStyle w:val="Refdenotaalpie"/>
          <w:sz w:val="18"/>
          <w:szCs w:val="16"/>
        </w:rPr>
        <w:footnoteRef/>
      </w:r>
      <w:r w:rsidRPr="004F03AF">
        <w:rPr>
          <w:sz w:val="16"/>
          <w:szCs w:val="16"/>
        </w:rPr>
        <w:t xml:space="preserve"> Este código inic</w:t>
      </w:r>
      <w:r>
        <w:rPr>
          <w:sz w:val="16"/>
          <w:szCs w:val="16"/>
        </w:rPr>
        <w:t>ia justamente donde se encuentra</w:t>
      </w:r>
      <w:r w:rsidRPr="004F03AF">
        <w:rPr>
          <w:sz w:val="16"/>
          <w:szCs w:val="16"/>
        </w:rPr>
        <w:t xml:space="preserve"> una línea con el siguiente texto: </w:t>
      </w:r>
      <w:r w:rsidRPr="004F03AF">
        <w:rPr>
          <w:i/>
          <w:sz w:val="16"/>
          <w:szCs w:val="16"/>
          <w:u w:val="single"/>
          <w:lang w:val="es-PR"/>
        </w:rPr>
        <w:t>Tabla 21. Empresas que generaron desechos peligrosos, por tipo de desecho</w:t>
      </w:r>
      <w:r>
        <w:rPr>
          <w:sz w:val="16"/>
          <w:szCs w:val="16"/>
          <w:lang w:val="es-PR"/>
        </w:rPr>
        <w:t>.</w:t>
      </w:r>
    </w:p>
  </w:footnote>
  <w:footnote w:id="8">
    <w:p w14:paraId="434087EF" w14:textId="77777777" w:rsidR="00B234B2" w:rsidRDefault="00964965" w:rsidP="00964965">
      <w:pPr>
        <w:pStyle w:val="Textonotapie"/>
        <w:jc w:val="both"/>
        <w:rPr>
          <w:sz w:val="16"/>
          <w:lang w:val="es-PR"/>
        </w:rPr>
      </w:pPr>
      <w:r w:rsidRPr="003A14D8">
        <w:rPr>
          <w:rStyle w:val="Refdenotaalpie"/>
          <w:sz w:val="18"/>
        </w:rPr>
        <w:footnoteRef/>
      </w:r>
      <w:r w:rsidRPr="003A14D8">
        <w:rPr>
          <w:sz w:val="16"/>
        </w:rPr>
        <w:t xml:space="preserve"> </w:t>
      </w:r>
      <w:r w:rsidRPr="003A14D8">
        <w:rPr>
          <w:sz w:val="16"/>
          <w:lang w:val="es-PR"/>
        </w:rPr>
        <w:t>Sobre el tema de las diferentes normalizaciones de la estructura de bases de datos relacionales, favor ver:</w:t>
      </w:r>
    </w:p>
    <w:p w14:paraId="3326F996" w14:textId="5E4B591A" w:rsidR="00964965" w:rsidRPr="003A14D8" w:rsidRDefault="000152AD" w:rsidP="00964965">
      <w:pPr>
        <w:pStyle w:val="Textonotapie"/>
        <w:jc w:val="both"/>
        <w:rPr>
          <w:lang w:val="es-PR"/>
        </w:rPr>
      </w:pPr>
      <w:hyperlink r:id="rId4" w:history="1">
        <w:r w:rsidR="00964965" w:rsidRPr="00F36D8B">
          <w:rPr>
            <w:rStyle w:val="Hipervnculo"/>
            <w:sz w:val="16"/>
            <w:lang w:val="es-PR"/>
          </w:rPr>
          <w:t>https://es.wikipedia.org/wiki/Normalización_de_bases_de_datos</w:t>
        </w:r>
      </w:hyperlink>
      <w:r w:rsidR="00964965">
        <w:rPr>
          <w:sz w:val="16"/>
          <w:lang w:val="es-PR"/>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1AB065" w14:textId="1D37E0C8" w:rsidR="0012411F" w:rsidRDefault="00F94E0B">
    <w:pPr>
      <w:pStyle w:val="Encabezado"/>
    </w:pPr>
    <w:r>
      <w:rPr>
        <w:noProof/>
        <w:lang w:eastAsia="es-EC"/>
      </w:rPr>
      <w:drawing>
        <wp:anchor distT="0" distB="0" distL="114300" distR="114300" simplePos="0" relativeHeight="251659264" behindDoc="1" locked="0" layoutInCell="1" allowOverlap="1" wp14:anchorId="03B729E2" wp14:editId="36DD33E7">
          <wp:simplePos x="0" y="0"/>
          <wp:positionH relativeFrom="page">
            <wp:align>right</wp:align>
          </wp:positionH>
          <wp:positionV relativeFrom="paragraph">
            <wp:posOffset>-438785</wp:posOffset>
          </wp:positionV>
          <wp:extent cx="7551820" cy="10686778"/>
          <wp:effectExtent l="0" t="0" r="0" b="635"/>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4"/>
                  <pic:cNvPicPr/>
                </pic:nvPicPr>
                <pic:blipFill>
                  <a:blip r:embed="rId1">
                    <a:extLst>
                      <a:ext uri="{28A0092B-C50C-407E-A947-70E740481C1C}">
                        <a14:useLocalDpi xmlns:a14="http://schemas.microsoft.com/office/drawing/2010/main" val="0"/>
                      </a:ext>
                    </a:extLst>
                  </a:blip>
                  <a:stretch>
                    <a:fillRect/>
                  </a:stretch>
                </pic:blipFill>
                <pic:spPr>
                  <a:xfrm>
                    <a:off x="0" y="0"/>
                    <a:ext cx="7551820" cy="10686778"/>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77C3303"/>
    <w:multiLevelType w:val="hybridMultilevel"/>
    <w:tmpl w:val="8374616E"/>
    <w:lvl w:ilvl="0" w:tplc="4E325572">
      <w:start w:val="1"/>
      <w:numFmt w:val="lowerLetter"/>
      <w:lvlText w:val="(%1)"/>
      <w:lvlJc w:val="left"/>
      <w:pPr>
        <w:ind w:left="360" w:hanging="360"/>
      </w:pPr>
      <w:rPr>
        <w:rFonts w:hint="default"/>
      </w:rPr>
    </w:lvl>
    <w:lvl w:ilvl="1" w:tplc="500A0019" w:tentative="1">
      <w:start w:val="1"/>
      <w:numFmt w:val="lowerLetter"/>
      <w:lvlText w:val="%2."/>
      <w:lvlJc w:val="left"/>
      <w:pPr>
        <w:ind w:left="1080" w:hanging="360"/>
      </w:pPr>
    </w:lvl>
    <w:lvl w:ilvl="2" w:tplc="500A001B" w:tentative="1">
      <w:start w:val="1"/>
      <w:numFmt w:val="lowerRoman"/>
      <w:lvlText w:val="%3."/>
      <w:lvlJc w:val="right"/>
      <w:pPr>
        <w:ind w:left="1800" w:hanging="180"/>
      </w:pPr>
    </w:lvl>
    <w:lvl w:ilvl="3" w:tplc="500A000F" w:tentative="1">
      <w:start w:val="1"/>
      <w:numFmt w:val="decimal"/>
      <w:lvlText w:val="%4."/>
      <w:lvlJc w:val="left"/>
      <w:pPr>
        <w:ind w:left="2520" w:hanging="360"/>
      </w:pPr>
    </w:lvl>
    <w:lvl w:ilvl="4" w:tplc="500A0019" w:tentative="1">
      <w:start w:val="1"/>
      <w:numFmt w:val="lowerLetter"/>
      <w:lvlText w:val="%5."/>
      <w:lvlJc w:val="left"/>
      <w:pPr>
        <w:ind w:left="3240" w:hanging="360"/>
      </w:pPr>
    </w:lvl>
    <w:lvl w:ilvl="5" w:tplc="500A001B" w:tentative="1">
      <w:start w:val="1"/>
      <w:numFmt w:val="lowerRoman"/>
      <w:lvlText w:val="%6."/>
      <w:lvlJc w:val="right"/>
      <w:pPr>
        <w:ind w:left="3960" w:hanging="180"/>
      </w:pPr>
    </w:lvl>
    <w:lvl w:ilvl="6" w:tplc="500A000F" w:tentative="1">
      <w:start w:val="1"/>
      <w:numFmt w:val="decimal"/>
      <w:lvlText w:val="%7."/>
      <w:lvlJc w:val="left"/>
      <w:pPr>
        <w:ind w:left="4680" w:hanging="360"/>
      </w:pPr>
    </w:lvl>
    <w:lvl w:ilvl="7" w:tplc="500A0019" w:tentative="1">
      <w:start w:val="1"/>
      <w:numFmt w:val="lowerLetter"/>
      <w:lvlText w:val="%8."/>
      <w:lvlJc w:val="left"/>
      <w:pPr>
        <w:ind w:left="5400" w:hanging="360"/>
      </w:pPr>
    </w:lvl>
    <w:lvl w:ilvl="8" w:tplc="500A001B" w:tentative="1">
      <w:start w:val="1"/>
      <w:numFmt w:val="lowerRoman"/>
      <w:lvlText w:val="%9."/>
      <w:lvlJc w:val="right"/>
      <w:pPr>
        <w:ind w:left="6120" w:hanging="180"/>
      </w:pPr>
    </w:lvl>
  </w:abstractNum>
  <w:abstractNum w:abstractNumId="1">
    <w:nsid w:val="18024635"/>
    <w:multiLevelType w:val="hybridMultilevel"/>
    <w:tmpl w:val="33DCEECA"/>
    <w:lvl w:ilvl="0" w:tplc="C3763442">
      <w:start w:val="1"/>
      <w:numFmt w:val="bullet"/>
      <w:lvlText w:val="-"/>
      <w:lvlJc w:val="left"/>
      <w:pPr>
        <w:ind w:left="720" w:hanging="360"/>
      </w:pPr>
      <w:rPr>
        <w:rFonts w:ascii="Century Gothic" w:eastAsiaTheme="minorHAnsi" w:hAnsi="Century Gothic" w:cs="Times New Roman"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nsid w:val="184A0363"/>
    <w:multiLevelType w:val="hybridMultilevel"/>
    <w:tmpl w:val="4E405382"/>
    <w:lvl w:ilvl="0" w:tplc="31EEDCA4">
      <w:start w:val="1"/>
      <w:numFmt w:val="decimal"/>
      <w:lvlText w:val="(%1)"/>
      <w:lvlJc w:val="left"/>
      <w:pPr>
        <w:ind w:left="360" w:hanging="360"/>
      </w:pPr>
      <w:rPr>
        <w:rFonts w:hint="default"/>
        <w:i/>
      </w:rPr>
    </w:lvl>
    <w:lvl w:ilvl="1" w:tplc="500A0019" w:tentative="1">
      <w:start w:val="1"/>
      <w:numFmt w:val="lowerLetter"/>
      <w:lvlText w:val="%2."/>
      <w:lvlJc w:val="left"/>
      <w:pPr>
        <w:ind w:left="1080" w:hanging="360"/>
      </w:pPr>
    </w:lvl>
    <w:lvl w:ilvl="2" w:tplc="500A001B" w:tentative="1">
      <w:start w:val="1"/>
      <w:numFmt w:val="lowerRoman"/>
      <w:lvlText w:val="%3."/>
      <w:lvlJc w:val="right"/>
      <w:pPr>
        <w:ind w:left="1800" w:hanging="180"/>
      </w:pPr>
    </w:lvl>
    <w:lvl w:ilvl="3" w:tplc="500A000F" w:tentative="1">
      <w:start w:val="1"/>
      <w:numFmt w:val="decimal"/>
      <w:lvlText w:val="%4."/>
      <w:lvlJc w:val="left"/>
      <w:pPr>
        <w:ind w:left="2520" w:hanging="360"/>
      </w:pPr>
    </w:lvl>
    <w:lvl w:ilvl="4" w:tplc="500A0019" w:tentative="1">
      <w:start w:val="1"/>
      <w:numFmt w:val="lowerLetter"/>
      <w:lvlText w:val="%5."/>
      <w:lvlJc w:val="left"/>
      <w:pPr>
        <w:ind w:left="3240" w:hanging="360"/>
      </w:pPr>
    </w:lvl>
    <w:lvl w:ilvl="5" w:tplc="500A001B" w:tentative="1">
      <w:start w:val="1"/>
      <w:numFmt w:val="lowerRoman"/>
      <w:lvlText w:val="%6."/>
      <w:lvlJc w:val="right"/>
      <w:pPr>
        <w:ind w:left="3960" w:hanging="180"/>
      </w:pPr>
    </w:lvl>
    <w:lvl w:ilvl="6" w:tplc="500A000F" w:tentative="1">
      <w:start w:val="1"/>
      <w:numFmt w:val="decimal"/>
      <w:lvlText w:val="%7."/>
      <w:lvlJc w:val="left"/>
      <w:pPr>
        <w:ind w:left="4680" w:hanging="360"/>
      </w:pPr>
    </w:lvl>
    <w:lvl w:ilvl="7" w:tplc="500A0019" w:tentative="1">
      <w:start w:val="1"/>
      <w:numFmt w:val="lowerLetter"/>
      <w:lvlText w:val="%8."/>
      <w:lvlJc w:val="left"/>
      <w:pPr>
        <w:ind w:left="5400" w:hanging="360"/>
      </w:pPr>
    </w:lvl>
    <w:lvl w:ilvl="8" w:tplc="500A001B" w:tentative="1">
      <w:start w:val="1"/>
      <w:numFmt w:val="lowerRoman"/>
      <w:lvlText w:val="%9."/>
      <w:lvlJc w:val="right"/>
      <w:pPr>
        <w:ind w:left="6120" w:hanging="180"/>
      </w:pPr>
    </w:lvl>
  </w:abstractNum>
  <w:abstractNum w:abstractNumId="3">
    <w:nsid w:val="1B553535"/>
    <w:multiLevelType w:val="hybridMultilevel"/>
    <w:tmpl w:val="8BE08772"/>
    <w:lvl w:ilvl="0" w:tplc="300A0001">
      <w:start w:val="1"/>
      <w:numFmt w:val="bullet"/>
      <w:lvlText w:val=""/>
      <w:lvlJc w:val="left"/>
      <w:pPr>
        <w:ind w:left="360" w:hanging="360"/>
      </w:pPr>
      <w:rPr>
        <w:rFonts w:ascii="Symbol" w:hAnsi="Symbol" w:hint="default"/>
      </w:rPr>
    </w:lvl>
    <w:lvl w:ilvl="1" w:tplc="300A0003" w:tentative="1">
      <w:start w:val="1"/>
      <w:numFmt w:val="bullet"/>
      <w:lvlText w:val="o"/>
      <w:lvlJc w:val="left"/>
      <w:pPr>
        <w:ind w:left="1080" w:hanging="360"/>
      </w:pPr>
      <w:rPr>
        <w:rFonts w:ascii="Courier New" w:hAnsi="Courier New" w:cs="Courier New" w:hint="default"/>
      </w:rPr>
    </w:lvl>
    <w:lvl w:ilvl="2" w:tplc="300A0005" w:tentative="1">
      <w:start w:val="1"/>
      <w:numFmt w:val="bullet"/>
      <w:lvlText w:val=""/>
      <w:lvlJc w:val="left"/>
      <w:pPr>
        <w:ind w:left="1800" w:hanging="360"/>
      </w:pPr>
      <w:rPr>
        <w:rFonts w:ascii="Wingdings" w:hAnsi="Wingdings" w:hint="default"/>
      </w:rPr>
    </w:lvl>
    <w:lvl w:ilvl="3" w:tplc="300A0001" w:tentative="1">
      <w:start w:val="1"/>
      <w:numFmt w:val="bullet"/>
      <w:lvlText w:val=""/>
      <w:lvlJc w:val="left"/>
      <w:pPr>
        <w:ind w:left="2520" w:hanging="360"/>
      </w:pPr>
      <w:rPr>
        <w:rFonts w:ascii="Symbol" w:hAnsi="Symbol" w:hint="default"/>
      </w:rPr>
    </w:lvl>
    <w:lvl w:ilvl="4" w:tplc="300A0003" w:tentative="1">
      <w:start w:val="1"/>
      <w:numFmt w:val="bullet"/>
      <w:lvlText w:val="o"/>
      <w:lvlJc w:val="left"/>
      <w:pPr>
        <w:ind w:left="3240" w:hanging="360"/>
      </w:pPr>
      <w:rPr>
        <w:rFonts w:ascii="Courier New" w:hAnsi="Courier New" w:cs="Courier New" w:hint="default"/>
      </w:rPr>
    </w:lvl>
    <w:lvl w:ilvl="5" w:tplc="300A0005" w:tentative="1">
      <w:start w:val="1"/>
      <w:numFmt w:val="bullet"/>
      <w:lvlText w:val=""/>
      <w:lvlJc w:val="left"/>
      <w:pPr>
        <w:ind w:left="3960" w:hanging="360"/>
      </w:pPr>
      <w:rPr>
        <w:rFonts w:ascii="Wingdings" w:hAnsi="Wingdings" w:hint="default"/>
      </w:rPr>
    </w:lvl>
    <w:lvl w:ilvl="6" w:tplc="300A0001" w:tentative="1">
      <w:start w:val="1"/>
      <w:numFmt w:val="bullet"/>
      <w:lvlText w:val=""/>
      <w:lvlJc w:val="left"/>
      <w:pPr>
        <w:ind w:left="4680" w:hanging="360"/>
      </w:pPr>
      <w:rPr>
        <w:rFonts w:ascii="Symbol" w:hAnsi="Symbol" w:hint="default"/>
      </w:rPr>
    </w:lvl>
    <w:lvl w:ilvl="7" w:tplc="300A0003" w:tentative="1">
      <w:start w:val="1"/>
      <w:numFmt w:val="bullet"/>
      <w:lvlText w:val="o"/>
      <w:lvlJc w:val="left"/>
      <w:pPr>
        <w:ind w:left="5400" w:hanging="360"/>
      </w:pPr>
      <w:rPr>
        <w:rFonts w:ascii="Courier New" w:hAnsi="Courier New" w:cs="Courier New" w:hint="default"/>
      </w:rPr>
    </w:lvl>
    <w:lvl w:ilvl="8" w:tplc="300A0005" w:tentative="1">
      <w:start w:val="1"/>
      <w:numFmt w:val="bullet"/>
      <w:lvlText w:val=""/>
      <w:lvlJc w:val="left"/>
      <w:pPr>
        <w:ind w:left="6120" w:hanging="360"/>
      </w:pPr>
      <w:rPr>
        <w:rFonts w:ascii="Wingdings" w:hAnsi="Wingdings" w:hint="default"/>
      </w:rPr>
    </w:lvl>
  </w:abstractNum>
  <w:abstractNum w:abstractNumId="4">
    <w:nsid w:val="2105020C"/>
    <w:multiLevelType w:val="hybridMultilevel"/>
    <w:tmpl w:val="226C0B76"/>
    <w:lvl w:ilvl="0" w:tplc="08B085CA">
      <w:start w:val="1"/>
      <w:numFmt w:val="decimal"/>
      <w:lvlText w:val="%1."/>
      <w:lvlJc w:val="left"/>
      <w:pPr>
        <w:ind w:left="720" w:hanging="360"/>
      </w:pPr>
      <w:rPr>
        <w:rFonts w:cs="Calibri" w:hint="default"/>
        <w:b/>
        <w:color w:val="7F7F7F" w:themeColor="text1" w:themeTint="80"/>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
    <w:nsid w:val="229E2E35"/>
    <w:multiLevelType w:val="hybridMultilevel"/>
    <w:tmpl w:val="B9BA8888"/>
    <w:lvl w:ilvl="0" w:tplc="6A3CE22E">
      <w:start w:val="1"/>
      <w:numFmt w:val="lowerLetter"/>
      <w:lvlText w:val="(%1)"/>
      <w:lvlJc w:val="left"/>
      <w:pPr>
        <w:ind w:left="360" w:hanging="360"/>
      </w:pPr>
      <w:rPr>
        <w:rFonts w:hint="default"/>
        <w:i/>
      </w:rPr>
    </w:lvl>
    <w:lvl w:ilvl="1" w:tplc="500A0019" w:tentative="1">
      <w:start w:val="1"/>
      <w:numFmt w:val="lowerLetter"/>
      <w:lvlText w:val="%2."/>
      <w:lvlJc w:val="left"/>
      <w:pPr>
        <w:ind w:left="1080" w:hanging="360"/>
      </w:pPr>
    </w:lvl>
    <w:lvl w:ilvl="2" w:tplc="500A001B" w:tentative="1">
      <w:start w:val="1"/>
      <w:numFmt w:val="lowerRoman"/>
      <w:lvlText w:val="%3."/>
      <w:lvlJc w:val="right"/>
      <w:pPr>
        <w:ind w:left="1800" w:hanging="180"/>
      </w:pPr>
    </w:lvl>
    <w:lvl w:ilvl="3" w:tplc="500A000F" w:tentative="1">
      <w:start w:val="1"/>
      <w:numFmt w:val="decimal"/>
      <w:lvlText w:val="%4."/>
      <w:lvlJc w:val="left"/>
      <w:pPr>
        <w:ind w:left="2520" w:hanging="360"/>
      </w:pPr>
    </w:lvl>
    <w:lvl w:ilvl="4" w:tplc="500A0019" w:tentative="1">
      <w:start w:val="1"/>
      <w:numFmt w:val="lowerLetter"/>
      <w:lvlText w:val="%5."/>
      <w:lvlJc w:val="left"/>
      <w:pPr>
        <w:ind w:left="3240" w:hanging="360"/>
      </w:pPr>
    </w:lvl>
    <w:lvl w:ilvl="5" w:tplc="500A001B" w:tentative="1">
      <w:start w:val="1"/>
      <w:numFmt w:val="lowerRoman"/>
      <w:lvlText w:val="%6."/>
      <w:lvlJc w:val="right"/>
      <w:pPr>
        <w:ind w:left="3960" w:hanging="180"/>
      </w:pPr>
    </w:lvl>
    <w:lvl w:ilvl="6" w:tplc="500A000F" w:tentative="1">
      <w:start w:val="1"/>
      <w:numFmt w:val="decimal"/>
      <w:lvlText w:val="%7."/>
      <w:lvlJc w:val="left"/>
      <w:pPr>
        <w:ind w:left="4680" w:hanging="360"/>
      </w:pPr>
    </w:lvl>
    <w:lvl w:ilvl="7" w:tplc="500A0019" w:tentative="1">
      <w:start w:val="1"/>
      <w:numFmt w:val="lowerLetter"/>
      <w:lvlText w:val="%8."/>
      <w:lvlJc w:val="left"/>
      <w:pPr>
        <w:ind w:left="5400" w:hanging="360"/>
      </w:pPr>
    </w:lvl>
    <w:lvl w:ilvl="8" w:tplc="500A001B" w:tentative="1">
      <w:start w:val="1"/>
      <w:numFmt w:val="lowerRoman"/>
      <w:lvlText w:val="%9."/>
      <w:lvlJc w:val="right"/>
      <w:pPr>
        <w:ind w:left="6120" w:hanging="180"/>
      </w:pPr>
    </w:lvl>
  </w:abstractNum>
  <w:abstractNum w:abstractNumId="6">
    <w:nsid w:val="23C20387"/>
    <w:multiLevelType w:val="hybridMultilevel"/>
    <w:tmpl w:val="E1AE72D0"/>
    <w:lvl w:ilvl="0" w:tplc="300A0011">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7">
    <w:nsid w:val="2CD47159"/>
    <w:multiLevelType w:val="hybridMultilevel"/>
    <w:tmpl w:val="19D6AC64"/>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8">
    <w:nsid w:val="31D041AD"/>
    <w:multiLevelType w:val="multilevel"/>
    <w:tmpl w:val="0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377129DC"/>
    <w:multiLevelType w:val="hybridMultilevel"/>
    <w:tmpl w:val="C1B492E0"/>
    <w:lvl w:ilvl="0" w:tplc="3B3495C8">
      <w:start w:val="1"/>
      <w:numFmt w:val="decimal"/>
      <w:pStyle w:val="Textoprincipal-Numerado"/>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0">
    <w:nsid w:val="4DBA1BE7"/>
    <w:multiLevelType w:val="hybridMultilevel"/>
    <w:tmpl w:val="A1EAF78A"/>
    <w:lvl w:ilvl="0" w:tplc="218A0418">
      <w:start w:val="1"/>
      <w:numFmt w:val="decimal"/>
      <w:lvlText w:val="%1."/>
      <w:lvlJc w:val="left"/>
      <w:pPr>
        <w:ind w:left="360" w:hanging="360"/>
      </w:pPr>
      <w:rPr>
        <w:color w:val="767171" w:themeColor="background2" w:themeShade="80"/>
      </w:rPr>
    </w:lvl>
    <w:lvl w:ilvl="1" w:tplc="500A0019" w:tentative="1">
      <w:start w:val="1"/>
      <w:numFmt w:val="lowerLetter"/>
      <w:lvlText w:val="%2."/>
      <w:lvlJc w:val="left"/>
      <w:pPr>
        <w:ind w:left="1080" w:hanging="360"/>
      </w:pPr>
    </w:lvl>
    <w:lvl w:ilvl="2" w:tplc="500A001B" w:tentative="1">
      <w:start w:val="1"/>
      <w:numFmt w:val="lowerRoman"/>
      <w:lvlText w:val="%3."/>
      <w:lvlJc w:val="right"/>
      <w:pPr>
        <w:ind w:left="1800" w:hanging="180"/>
      </w:pPr>
    </w:lvl>
    <w:lvl w:ilvl="3" w:tplc="500A000F" w:tentative="1">
      <w:start w:val="1"/>
      <w:numFmt w:val="decimal"/>
      <w:lvlText w:val="%4."/>
      <w:lvlJc w:val="left"/>
      <w:pPr>
        <w:ind w:left="2520" w:hanging="360"/>
      </w:pPr>
    </w:lvl>
    <w:lvl w:ilvl="4" w:tplc="500A0019" w:tentative="1">
      <w:start w:val="1"/>
      <w:numFmt w:val="lowerLetter"/>
      <w:lvlText w:val="%5."/>
      <w:lvlJc w:val="left"/>
      <w:pPr>
        <w:ind w:left="3240" w:hanging="360"/>
      </w:pPr>
    </w:lvl>
    <w:lvl w:ilvl="5" w:tplc="500A001B" w:tentative="1">
      <w:start w:val="1"/>
      <w:numFmt w:val="lowerRoman"/>
      <w:lvlText w:val="%6."/>
      <w:lvlJc w:val="right"/>
      <w:pPr>
        <w:ind w:left="3960" w:hanging="180"/>
      </w:pPr>
    </w:lvl>
    <w:lvl w:ilvl="6" w:tplc="500A000F" w:tentative="1">
      <w:start w:val="1"/>
      <w:numFmt w:val="decimal"/>
      <w:lvlText w:val="%7."/>
      <w:lvlJc w:val="left"/>
      <w:pPr>
        <w:ind w:left="4680" w:hanging="360"/>
      </w:pPr>
    </w:lvl>
    <w:lvl w:ilvl="7" w:tplc="500A0019" w:tentative="1">
      <w:start w:val="1"/>
      <w:numFmt w:val="lowerLetter"/>
      <w:lvlText w:val="%8."/>
      <w:lvlJc w:val="left"/>
      <w:pPr>
        <w:ind w:left="5400" w:hanging="360"/>
      </w:pPr>
    </w:lvl>
    <w:lvl w:ilvl="8" w:tplc="500A001B" w:tentative="1">
      <w:start w:val="1"/>
      <w:numFmt w:val="lowerRoman"/>
      <w:lvlText w:val="%9."/>
      <w:lvlJc w:val="right"/>
      <w:pPr>
        <w:ind w:left="6120" w:hanging="180"/>
      </w:pPr>
    </w:lvl>
  </w:abstractNum>
  <w:abstractNum w:abstractNumId="11">
    <w:nsid w:val="56EB2AA6"/>
    <w:multiLevelType w:val="hybridMultilevel"/>
    <w:tmpl w:val="C0B8F896"/>
    <w:lvl w:ilvl="0" w:tplc="500A0005">
      <w:start w:val="1"/>
      <w:numFmt w:val="bullet"/>
      <w:lvlText w:val=""/>
      <w:lvlJc w:val="left"/>
      <w:pPr>
        <w:ind w:left="360" w:hanging="360"/>
      </w:pPr>
      <w:rPr>
        <w:rFonts w:ascii="Wingdings" w:hAnsi="Wingdings" w:hint="default"/>
      </w:rPr>
    </w:lvl>
    <w:lvl w:ilvl="1" w:tplc="500A0003" w:tentative="1">
      <w:start w:val="1"/>
      <w:numFmt w:val="bullet"/>
      <w:lvlText w:val="o"/>
      <w:lvlJc w:val="left"/>
      <w:pPr>
        <w:ind w:left="1080" w:hanging="360"/>
      </w:pPr>
      <w:rPr>
        <w:rFonts w:ascii="Courier New" w:hAnsi="Courier New" w:cs="Courier New" w:hint="default"/>
      </w:rPr>
    </w:lvl>
    <w:lvl w:ilvl="2" w:tplc="500A0005" w:tentative="1">
      <w:start w:val="1"/>
      <w:numFmt w:val="bullet"/>
      <w:lvlText w:val=""/>
      <w:lvlJc w:val="left"/>
      <w:pPr>
        <w:ind w:left="1800" w:hanging="360"/>
      </w:pPr>
      <w:rPr>
        <w:rFonts w:ascii="Wingdings" w:hAnsi="Wingdings" w:hint="default"/>
      </w:rPr>
    </w:lvl>
    <w:lvl w:ilvl="3" w:tplc="500A0001" w:tentative="1">
      <w:start w:val="1"/>
      <w:numFmt w:val="bullet"/>
      <w:lvlText w:val=""/>
      <w:lvlJc w:val="left"/>
      <w:pPr>
        <w:ind w:left="2520" w:hanging="360"/>
      </w:pPr>
      <w:rPr>
        <w:rFonts w:ascii="Symbol" w:hAnsi="Symbol" w:hint="default"/>
      </w:rPr>
    </w:lvl>
    <w:lvl w:ilvl="4" w:tplc="500A0003" w:tentative="1">
      <w:start w:val="1"/>
      <w:numFmt w:val="bullet"/>
      <w:lvlText w:val="o"/>
      <w:lvlJc w:val="left"/>
      <w:pPr>
        <w:ind w:left="3240" w:hanging="360"/>
      </w:pPr>
      <w:rPr>
        <w:rFonts w:ascii="Courier New" w:hAnsi="Courier New" w:cs="Courier New" w:hint="default"/>
      </w:rPr>
    </w:lvl>
    <w:lvl w:ilvl="5" w:tplc="500A0005" w:tentative="1">
      <w:start w:val="1"/>
      <w:numFmt w:val="bullet"/>
      <w:lvlText w:val=""/>
      <w:lvlJc w:val="left"/>
      <w:pPr>
        <w:ind w:left="3960" w:hanging="360"/>
      </w:pPr>
      <w:rPr>
        <w:rFonts w:ascii="Wingdings" w:hAnsi="Wingdings" w:hint="default"/>
      </w:rPr>
    </w:lvl>
    <w:lvl w:ilvl="6" w:tplc="500A0001" w:tentative="1">
      <w:start w:val="1"/>
      <w:numFmt w:val="bullet"/>
      <w:lvlText w:val=""/>
      <w:lvlJc w:val="left"/>
      <w:pPr>
        <w:ind w:left="4680" w:hanging="360"/>
      </w:pPr>
      <w:rPr>
        <w:rFonts w:ascii="Symbol" w:hAnsi="Symbol" w:hint="default"/>
      </w:rPr>
    </w:lvl>
    <w:lvl w:ilvl="7" w:tplc="500A0003" w:tentative="1">
      <w:start w:val="1"/>
      <w:numFmt w:val="bullet"/>
      <w:lvlText w:val="o"/>
      <w:lvlJc w:val="left"/>
      <w:pPr>
        <w:ind w:left="5400" w:hanging="360"/>
      </w:pPr>
      <w:rPr>
        <w:rFonts w:ascii="Courier New" w:hAnsi="Courier New" w:cs="Courier New" w:hint="default"/>
      </w:rPr>
    </w:lvl>
    <w:lvl w:ilvl="8" w:tplc="500A0005" w:tentative="1">
      <w:start w:val="1"/>
      <w:numFmt w:val="bullet"/>
      <w:lvlText w:val=""/>
      <w:lvlJc w:val="left"/>
      <w:pPr>
        <w:ind w:left="6120" w:hanging="360"/>
      </w:pPr>
      <w:rPr>
        <w:rFonts w:ascii="Wingdings" w:hAnsi="Wingdings" w:hint="default"/>
      </w:rPr>
    </w:lvl>
  </w:abstractNum>
  <w:abstractNum w:abstractNumId="12">
    <w:nsid w:val="5CD65402"/>
    <w:multiLevelType w:val="hybridMultilevel"/>
    <w:tmpl w:val="B9BA8888"/>
    <w:lvl w:ilvl="0" w:tplc="6A3CE22E">
      <w:start w:val="1"/>
      <w:numFmt w:val="lowerLetter"/>
      <w:lvlText w:val="(%1)"/>
      <w:lvlJc w:val="left"/>
      <w:pPr>
        <w:ind w:left="360" w:hanging="360"/>
      </w:pPr>
      <w:rPr>
        <w:rFonts w:hint="default"/>
        <w:i/>
      </w:rPr>
    </w:lvl>
    <w:lvl w:ilvl="1" w:tplc="500A0019" w:tentative="1">
      <w:start w:val="1"/>
      <w:numFmt w:val="lowerLetter"/>
      <w:lvlText w:val="%2."/>
      <w:lvlJc w:val="left"/>
      <w:pPr>
        <w:ind w:left="1080" w:hanging="360"/>
      </w:pPr>
    </w:lvl>
    <w:lvl w:ilvl="2" w:tplc="500A001B" w:tentative="1">
      <w:start w:val="1"/>
      <w:numFmt w:val="lowerRoman"/>
      <w:lvlText w:val="%3."/>
      <w:lvlJc w:val="right"/>
      <w:pPr>
        <w:ind w:left="1800" w:hanging="180"/>
      </w:pPr>
    </w:lvl>
    <w:lvl w:ilvl="3" w:tplc="500A000F" w:tentative="1">
      <w:start w:val="1"/>
      <w:numFmt w:val="decimal"/>
      <w:lvlText w:val="%4."/>
      <w:lvlJc w:val="left"/>
      <w:pPr>
        <w:ind w:left="2520" w:hanging="360"/>
      </w:pPr>
    </w:lvl>
    <w:lvl w:ilvl="4" w:tplc="500A0019" w:tentative="1">
      <w:start w:val="1"/>
      <w:numFmt w:val="lowerLetter"/>
      <w:lvlText w:val="%5."/>
      <w:lvlJc w:val="left"/>
      <w:pPr>
        <w:ind w:left="3240" w:hanging="360"/>
      </w:pPr>
    </w:lvl>
    <w:lvl w:ilvl="5" w:tplc="500A001B" w:tentative="1">
      <w:start w:val="1"/>
      <w:numFmt w:val="lowerRoman"/>
      <w:lvlText w:val="%6."/>
      <w:lvlJc w:val="right"/>
      <w:pPr>
        <w:ind w:left="3960" w:hanging="180"/>
      </w:pPr>
    </w:lvl>
    <w:lvl w:ilvl="6" w:tplc="500A000F" w:tentative="1">
      <w:start w:val="1"/>
      <w:numFmt w:val="decimal"/>
      <w:lvlText w:val="%7."/>
      <w:lvlJc w:val="left"/>
      <w:pPr>
        <w:ind w:left="4680" w:hanging="360"/>
      </w:pPr>
    </w:lvl>
    <w:lvl w:ilvl="7" w:tplc="500A0019" w:tentative="1">
      <w:start w:val="1"/>
      <w:numFmt w:val="lowerLetter"/>
      <w:lvlText w:val="%8."/>
      <w:lvlJc w:val="left"/>
      <w:pPr>
        <w:ind w:left="5400" w:hanging="360"/>
      </w:pPr>
    </w:lvl>
    <w:lvl w:ilvl="8" w:tplc="500A001B" w:tentative="1">
      <w:start w:val="1"/>
      <w:numFmt w:val="lowerRoman"/>
      <w:lvlText w:val="%9."/>
      <w:lvlJc w:val="right"/>
      <w:pPr>
        <w:ind w:left="6120" w:hanging="180"/>
      </w:pPr>
    </w:lvl>
  </w:abstractNum>
  <w:abstractNum w:abstractNumId="13">
    <w:nsid w:val="5E5A7AFE"/>
    <w:multiLevelType w:val="hybridMultilevel"/>
    <w:tmpl w:val="476C4D80"/>
    <w:lvl w:ilvl="0" w:tplc="500A0001">
      <w:start w:val="1"/>
      <w:numFmt w:val="bullet"/>
      <w:lvlText w:val=""/>
      <w:lvlJc w:val="left"/>
      <w:pPr>
        <w:ind w:left="360" w:hanging="360"/>
      </w:pPr>
      <w:rPr>
        <w:rFonts w:ascii="Symbol" w:hAnsi="Symbol" w:hint="default"/>
      </w:rPr>
    </w:lvl>
    <w:lvl w:ilvl="1" w:tplc="500A0003" w:tentative="1">
      <w:start w:val="1"/>
      <w:numFmt w:val="bullet"/>
      <w:lvlText w:val="o"/>
      <w:lvlJc w:val="left"/>
      <w:pPr>
        <w:ind w:left="1080" w:hanging="360"/>
      </w:pPr>
      <w:rPr>
        <w:rFonts w:ascii="Courier New" w:hAnsi="Courier New" w:cs="Courier New" w:hint="default"/>
      </w:rPr>
    </w:lvl>
    <w:lvl w:ilvl="2" w:tplc="500A0005" w:tentative="1">
      <w:start w:val="1"/>
      <w:numFmt w:val="bullet"/>
      <w:lvlText w:val=""/>
      <w:lvlJc w:val="left"/>
      <w:pPr>
        <w:ind w:left="1800" w:hanging="360"/>
      </w:pPr>
      <w:rPr>
        <w:rFonts w:ascii="Wingdings" w:hAnsi="Wingdings" w:hint="default"/>
      </w:rPr>
    </w:lvl>
    <w:lvl w:ilvl="3" w:tplc="500A0001" w:tentative="1">
      <w:start w:val="1"/>
      <w:numFmt w:val="bullet"/>
      <w:lvlText w:val=""/>
      <w:lvlJc w:val="left"/>
      <w:pPr>
        <w:ind w:left="2520" w:hanging="360"/>
      </w:pPr>
      <w:rPr>
        <w:rFonts w:ascii="Symbol" w:hAnsi="Symbol" w:hint="default"/>
      </w:rPr>
    </w:lvl>
    <w:lvl w:ilvl="4" w:tplc="500A0003" w:tentative="1">
      <w:start w:val="1"/>
      <w:numFmt w:val="bullet"/>
      <w:lvlText w:val="o"/>
      <w:lvlJc w:val="left"/>
      <w:pPr>
        <w:ind w:left="3240" w:hanging="360"/>
      </w:pPr>
      <w:rPr>
        <w:rFonts w:ascii="Courier New" w:hAnsi="Courier New" w:cs="Courier New" w:hint="default"/>
      </w:rPr>
    </w:lvl>
    <w:lvl w:ilvl="5" w:tplc="500A0005" w:tentative="1">
      <w:start w:val="1"/>
      <w:numFmt w:val="bullet"/>
      <w:lvlText w:val=""/>
      <w:lvlJc w:val="left"/>
      <w:pPr>
        <w:ind w:left="3960" w:hanging="360"/>
      </w:pPr>
      <w:rPr>
        <w:rFonts w:ascii="Wingdings" w:hAnsi="Wingdings" w:hint="default"/>
      </w:rPr>
    </w:lvl>
    <w:lvl w:ilvl="6" w:tplc="500A0001" w:tentative="1">
      <w:start w:val="1"/>
      <w:numFmt w:val="bullet"/>
      <w:lvlText w:val=""/>
      <w:lvlJc w:val="left"/>
      <w:pPr>
        <w:ind w:left="4680" w:hanging="360"/>
      </w:pPr>
      <w:rPr>
        <w:rFonts w:ascii="Symbol" w:hAnsi="Symbol" w:hint="default"/>
      </w:rPr>
    </w:lvl>
    <w:lvl w:ilvl="7" w:tplc="500A0003" w:tentative="1">
      <w:start w:val="1"/>
      <w:numFmt w:val="bullet"/>
      <w:lvlText w:val="o"/>
      <w:lvlJc w:val="left"/>
      <w:pPr>
        <w:ind w:left="5400" w:hanging="360"/>
      </w:pPr>
      <w:rPr>
        <w:rFonts w:ascii="Courier New" w:hAnsi="Courier New" w:cs="Courier New" w:hint="default"/>
      </w:rPr>
    </w:lvl>
    <w:lvl w:ilvl="8" w:tplc="500A0005" w:tentative="1">
      <w:start w:val="1"/>
      <w:numFmt w:val="bullet"/>
      <w:lvlText w:val=""/>
      <w:lvlJc w:val="left"/>
      <w:pPr>
        <w:ind w:left="6120" w:hanging="360"/>
      </w:pPr>
      <w:rPr>
        <w:rFonts w:ascii="Wingdings" w:hAnsi="Wingdings" w:hint="default"/>
      </w:rPr>
    </w:lvl>
  </w:abstractNum>
  <w:abstractNum w:abstractNumId="14">
    <w:nsid w:val="6A2E2D3E"/>
    <w:multiLevelType w:val="hybridMultilevel"/>
    <w:tmpl w:val="C74C2C36"/>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5">
    <w:nsid w:val="6D396E75"/>
    <w:multiLevelType w:val="hybridMultilevel"/>
    <w:tmpl w:val="81D44862"/>
    <w:lvl w:ilvl="0" w:tplc="500A0001">
      <w:start w:val="1"/>
      <w:numFmt w:val="bullet"/>
      <w:lvlText w:val=""/>
      <w:lvlJc w:val="left"/>
      <w:pPr>
        <w:ind w:left="720" w:hanging="360"/>
      </w:pPr>
      <w:rPr>
        <w:rFonts w:ascii="Symbol" w:hAnsi="Symbol"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num w:numId="1">
    <w:abstractNumId w:val="8"/>
  </w:num>
  <w:num w:numId="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num>
  <w:num w:numId="4">
    <w:abstractNumId w:val="6"/>
  </w:num>
  <w:num w:numId="5">
    <w:abstractNumId w:val="1"/>
  </w:num>
  <w:num w:numId="6">
    <w:abstractNumId w:val="14"/>
  </w:num>
  <w:num w:numId="7">
    <w:abstractNumId w:val="7"/>
  </w:num>
  <w:num w:numId="8">
    <w:abstractNumId w:val="3"/>
  </w:num>
  <w:num w:numId="9">
    <w:abstractNumId w:val="15"/>
  </w:num>
  <w:num w:numId="10">
    <w:abstractNumId w:val="13"/>
  </w:num>
  <w:num w:numId="11">
    <w:abstractNumId w:val="11"/>
  </w:num>
  <w:num w:numId="12">
    <w:abstractNumId w:val="10"/>
  </w:num>
  <w:num w:numId="13">
    <w:abstractNumId w:val="0"/>
  </w:num>
  <w:num w:numId="14">
    <w:abstractNumId w:val="5"/>
  </w:num>
  <w:num w:numId="15">
    <w:abstractNumId w:val="12"/>
  </w:num>
  <w:num w:numId="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659A"/>
    <w:rsid w:val="000152AD"/>
    <w:rsid w:val="000330D5"/>
    <w:rsid w:val="0007659A"/>
    <w:rsid w:val="000824AC"/>
    <w:rsid w:val="000A0C79"/>
    <w:rsid w:val="000A455C"/>
    <w:rsid w:val="000E1945"/>
    <w:rsid w:val="00110509"/>
    <w:rsid w:val="0012411F"/>
    <w:rsid w:val="00175756"/>
    <w:rsid w:val="00196C11"/>
    <w:rsid w:val="001A5D8D"/>
    <w:rsid w:val="001B187F"/>
    <w:rsid w:val="001C6732"/>
    <w:rsid w:val="001F3C8A"/>
    <w:rsid w:val="00216C86"/>
    <w:rsid w:val="00226A62"/>
    <w:rsid w:val="002309F0"/>
    <w:rsid w:val="002B53F8"/>
    <w:rsid w:val="002D4D7F"/>
    <w:rsid w:val="002D4EF1"/>
    <w:rsid w:val="00311E94"/>
    <w:rsid w:val="00323B9A"/>
    <w:rsid w:val="003351D8"/>
    <w:rsid w:val="00343D58"/>
    <w:rsid w:val="00360537"/>
    <w:rsid w:val="00363F4E"/>
    <w:rsid w:val="003729DA"/>
    <w:rsid w:val="00374255"/>
    <w:rsid w:val="003B4760"/>
    <w:rsid w:val="0041546E"/>
    <w:rsid w:val="00417698"/>
    <w:rsid w:val="004307FB"/>
    <w:rsid w:val="004B63A1"/>
    <w:rsid w:val="004D2A8F"/>
    <w:rsid w:val="004E51CC"/>
    <w:rsid w:val="0051777B"/>
    <w:rsid w:val="0053736A"/>
    <w:rsid w:val="00562864"/>
    <w:rsid w:val="00563CA1"/>
    <w:rsid w:val="00567233"/>
    <w:rsid w:val="0058171D"/>
    <w:rsid w:val="0058656C"/>
    <w:rsid w:val="0059696C"/>
    <w:rsid w:val="005B5BEB"/>
    <w:rsid w:val="005C2B09"/>
    <w:rsid w:val="005D5270"/>
    <w:rsid w:val="005D5DE4"/>
    <w:rsid w:val="005E4A13"/>
    <w:rsid w:val="00646F55"/>
    <w:rsid w:val="006A7885"/>
    <w:rsid w:val="006D0E28"/>
    <w:rsid w:val="00730A7D"/>
    <w:rsid w:val="00766814"/>
    <w:rsid w:val="00796BBB"/>
    <w:rsid w:val="007B1E22"/>
    <w:rsid w:val="007D3081"/>
    <w:rsid w:val="007F28E4"/>
    <w:rsid w:val="00811C84"/>
    <w:rsid w:val="0082628D"/>
    <w:rsid w:val="00826E44"/>
    <w:rsid w:val="00827B19"/>
    <w:rsid w:val="00870600"/>
    <w:rsid w:val="008823F6"/>
    <w:rsid w:val="008A7088"/>
    <w:rsid w:val="008C4FB9"/>
    <w:rsid w:val="008F4FCC"/>
    <w:rsid w:val="008F4FFB"/>
    <w:rsid w:val="0091664D"/>
    <w:rsid w:val="00956F1C"/>
    <w:rsid w:val="00964965"/>
    <w:rsid w:val="009711F8"/>
    <w:rsid w:val="00987723"/>
    <w:rsid w:val="009B15DF"/>
    <w:rsid w:val="00A32D88"/>
    <w:rsid w:val="00A47951"/>
    <w:rsid w:val="00A56265"/>
    <w:rsid w:val="00A70425"/>
    <w:rsid w:val="00A95D9D"/>
    <w:rsid w:val="00AC08E3"/>
    <w:rsid w:val="00AD2419"/>
    <w:rsid w:val="00AE3B69"/>
    <w:rsid w:val="00AF2AAB"/>
    <w:rsid w:val="00B216F0"/>
    <w:rsid w:val="00B22906"/>
    <w:rsid w:val="00B234B2"/>
    <w:rsid w:val="00B235E1"/>
    <w:rsid w:val="00BA26E3"/>
    <w:rsid w:val="00BA55E4"/>
    <w:rsid w:val="00BE0F56"/>
    <w:rsid w:val="00BE11D2"/>
    <w:rsid w:val="00BE6682"/>
    <w:rsid w:val="00C021A2"/>
    <w:rsid w:val="00C13C7C"/>
    <w:rsid w:val="00C176E7"/>
    <w:rsid w:val="00C37401"/>
    <w:rsid w:val="00C42E65"/>
    <w:rsid w:val="00C531A1"/>
    <w:rsid w:val="00C76B5D"/>
    <w:rsid w:val="00C804F8"/>
    <w:rsid w:val="00CE1805"/>
    <w:rsid w:val="00D27662"/>
    <w:rsid w:val="00D330B6"/>
    <w:rsid w:val="00D35631"/>
    <w:rsid w:val="00D44409"/>
    <w:rsid w:val="00D66FF2"/>
    <w:rsid w:val="00D81690"/>
    <w:rsid w:val="00D869F1"/>
    <w:rsid w:val="00DA222C"/>
    <w:rsid w:val="00DB24AF"/>
    <w:rsid w:val="00DE55D6"/>
    <w:rsid w:val="00E04714"/>
    <w:rsid w:val="00E428BF"/>
    <w:rsid w:val="00E50D68"/>
    <w:rsid w:val="00E779F4"/>
    <w:rsid w:val="00E93839"/>
    <w:rsid w:val="00EC64D1"/>
    <w:rsid w:val="00EE3040"/>
    <w:rsid w:val="00EE6861"/>
    <w:rsid w:val="00EE6A37"/>
    <w:rsid w:val="00F10627"/>
    <w:rsid w:val="00F1352F"/>
    <w:rsid w:val="00F4223D"/>
    <w:rsid w:val="00F56598"/>
    <w:rsid w:val="00F86B92"/>
    <w:rsid w:val="00F94E0B"/>
    <w:rsid w:val="00FA33EF"/>
    <w:rsid w:val="00FC0DD5"/>
    <w:rsid w:val="00FC7BCB"/>
    <w:rsid w:val="00FE3242"/>
    <w:rsid w:val="00FF00FB"/>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07E8745"/>
  <w15:chartTrackingRefBased/>
  <w15:docId w15:val="{BC87590C-C765-5F4B-AEE1-785715AB16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s-EC"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646F55"/>
    <w:pPr>
      <w:keepNext/>
      <w:keepLines/>
      <w:spacing w:before="480"/>
      <w:outlineLvl w:val="0"/>
    </w:pPr>
    <w:rPr>
      <w:rFonts w:asciiTheme="majorHAnsi" w:eastAsiaTheme="majorEastAsia" w:hAnsiTheme="majorHAnsi" w:cstheme="majorBidi"/>
      <w:b/>
      <w:bCs/>
      <w:color w:val="2F5496" w:themeColor="accent1" w:themeShade="BF"/>
      <w:sz w:val="28"/>
      <w:szCs w:val="28"/>
      <w:lang w:val="es-ES" w:eastAsia="es-ES" w:bidi="es-ES"/>
    </w:rPr>
  </w:style>
  <w:style w:type="paragraph" w:styleId="Ttulo2">
    <w:name w:val="heading 2"/>
    <w:basedOn w:val="Normal"/>
    <w:next w:val="Normal"/>
    <w:link w:val="Ttulo2Car"/>
    <w:uiPriority w:val="9"/>
    <w:unhideWhenUsed/>
    <w:qFormat/>
    <w:rsid w:val="00646F55"/>
    <w:pPr>
      <w:keepNext/>
      <w:keepLines/>
      <w:spacing w:before="200" w:line="276" w:lineRule="auto"/>
      <w:jc w:val="both"/>
      <w:outlineLvl w:val="1"/>
    </w:pPr>
    <w:rPr>
      <w:rFonts w:ascii="Arial" w:eastAsiaTheme="majorEastAsia" w:hAnsi="Arial" w:cstheme="majorBidi"/>
      <w:b/>
      <w:bCs/>
      <w:color w:val="4472C4" w:themeColor="accent1"/>
      <w:sz w:val="22"/>
      <w:szCs w:val="26"/>
    </w:rPr>
  </w:style>
  <w:style w:type="paragraph" w:styleId="Ttulo3">
    <w:name w:val="heading 3"/>
    <w:basedOn w:val="Normal"/>
    <w:next w:val="Normal"/>
    <w:link w:val="Ttulo3Car"/>
    <w:unhideWhenUsed/>
    <w:qFormat/>
    <w:rsid w:val="00646F55"/>
    <w:pPr>
      <w:keepNext/>
      <w:keepLines/>
      <w:spacing w:before="200"/>
      <w:outlineLvl w:val="2"/>
    </w:pPr>
    <w:rPr>
      <w:rFonts w:asciiTheme="majorHAnsi" w:eastAsiaTheme="majorEastAsia" w:hAnsiTheme="majorHAnsi" w:cstheme="majorBidi"/>
      <w:b/>
      <w:bCs/>
      <w:color w:val="4472C4" w:themeColor="accent1"/>
      <w:sz w:val="22"/>
      <w:szCs w:val="22"/>
      <w:lang w:val="es-ES" w:eastAsia="es-ES" w:bidi="es-ES"/>
    </w:rPr>
  </w:style>
  <w:style w:type="paragraph" w:styleId="Ttulo4">
    <w:name w:val="heading 4"/>
    <w:basedOn w:val="Normal"/>
    <w:next w:val="Normal"/>
    <w:link w:val="Ttulo4Car"/>
    <w:unhideWhenUsed/>
    <w:qFormat/>
    <w:rsid w:val="00646F55"/>
    <w:pPr>
      <w:keepNext/>
      <w:keepLines/>
      <w:spacing w:before="200"/>
      <w:outlineLvl w:val="3"/>
    </w:pPr>
    <w:rPr>
      <w:rFonts w:asciiTheme="majorHAnsi" w:eastAsiaTheme="majorEastAsia" w:hAnsiTheme="majorHAnsi" w:cstheme="majorBidi"/>
      <w:b/>
      <w:bCs/>
      <w:i/>
      <w:iCs/>
      <w:color w:val="4472C4" w:themeColor="accent1"/>
      <w:sz w:val="22"/>
      <w:szCs w:val="22"/>
      <w:lang w:val="es-ES" w:eastAsia="es-ES" w:bidi="es-ES"/>
    </w:rPr>
  </w:style>
  <w:style w:type="paragraph" w:styleId="Ttulo9">
    <w:name w:val="heading 9"/>
    <w:basedOn w:val="Normal"/>
    <w:next w:val="Normal"/>
    <w:link w:val="Ttulo9Car"/>
    <w:unhideWhenUsed/>
    <w:qFormat/>
    <w:rsid w:val="00646F55"/>
    <w:pPr>
      <w:keepNext/>
      <w:keepLines/>
      <w:spacing w:before="200"/>
      <w:outlineLvl w:val="8"/>
    </w:pPr>
    <w:rPr>
      <w:rFonts w:asciiTheme="majorHAnsi" w:eastAsiaTheme="majorEastAsia" w:hAnsiTheme="majorHAnsi" w:cstheme="majorBidi"/>
      <w:i/>
      <w:iCs/>
      <w:color w:val="404040" w:themeColor="text1" w:themeTint="BF"/>
      <w:sz w:val="20"/>
      <w:szCs w:val="20"/>
      <w:lang w:val="es-ES" w:eastAsia="es-ES" w:bidi="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646F55"/>
    <w:rPr>
      <w:rFonts w:asciiTheme="majorHAnsi" w:eastAsiaTheme="majorEastAsia" w:hAnsiTheme="majorHAnsi" w:cstheme="majorBidi"/>
      <w:b/>
      <w:bCs/>
      <w:color w:val="2F5496" w:themeColor="accent1" w:themeShade="BF"/>
      <w:sz w:val="28"/>
      <w:szCs w:val="28"/>
      <w:lang w:val="es-ES" w:eastAsia="es-ES" w:bidi="es-ES"/>
    </w:rPr>
  </w:style>
  <w:style w:type="character" w:customStyle="1" w:styleId="Ttulo2Car">
    <w:name w:val="Título 2 Car"/>
    <w:basedOn w:val="Fuentedeprrafopredeter"/>
    <w:link w:val="Ttulo2"/>
    <w:uiPriority w:val="9"/>
    <w:rsid w:val="00646F55"/>
    <w:rPr>
      <w:rFonts w:ascii="Arial" w:eastAsiaTheme="majorEastAsia" w:hAnsi="Arial" w:cstheme="majorBidi"/>
      <w:b/>
      <w:bCs/>
      <w:color w:val="4472C4" w:themeColor="accent1"/>
      <w:sz w:val="22"/>
      <w:szCs w:val="26"/>
    </w:rPr>
  </w:style>
  <w:style w:type="character" w:customStyle="1" w:styleId="Ttulo3Car">
    <w:name w:val="Título 3 Car"/>
    <w:basedOn w:val="Fuentedeprrafopredeter"/>
    <w:link w:val="Ttulo3"/>
    <w:rsid w:val="00646F55"/>
    <w:rPr>
      <w:rFonts w:asciiTheme="majorHAnsi" w:eastAsiaTheme="majorEastAsia" w:hAnsiTheme="majorHAnsi" w:cstheme="majorBidi"/>
      <w:b/>
      <w:bCs/>
      <w:color w:val="4472C4" w:themeColor="accent1"/>
      <w:sz w:val="22"/>
      <w:szCs w:val="22"/>
      <w:lang w:val="es-ES" w:eastAsia="es-ES" w:bidi="es-ES"/>
    </w:rPr>
  </w:style>
  <w:style w:type="character" w:customStyle="1" w:styleId="Ttulo4Car">
    <w:name w:val="Título 4 Car"/>
    <w:basedOn w:val="Fuentedeprrafopredeter"/>
    <w:link w:val="Ttulo4"/>
    <w:rsid w:val="00646F55"/>
    <w:rPr>
      <w:rFonts w:asciiTheme="majorHAnsi" w:eastAsiaTheme="majorEastAsia" w:hAnsiTheme="majorHAnsi" w:cstheme="majorBidi"/>
      <w:b/>
      <w:bCs/>
      <w:i/>
      <w:iCs/>
      <w:color w:val="4472C4" w:themeColor="accent1"/>
      <w:sz w:val="22"/>
      <w:szCs w:val="22"/>
      <w:lang w:val="es-ES" w:eastAsia="es-ES" w:bidi="es-ES"/>
    </w:rPr>
  </w:style>
  <w:style w:type="character" w:customStyle="1" w:styleId="Ttulo9Car">
    <w:name w:val="Título 9 Car"/>
    <w:basedOn w:val="Fuentedeprrafopredeter"/>
    <w:link w:val="Ttulo9"/>
    <w:rsid w:val="00646F55"/>
    <w:rPr>
      <w:rFonts w:asciiTheme="majorHAnsi" w:eastAsiaTheme="majorEastAsia" w:hAnsiTheme="majorHAnsi" w:cstheme="majorBidi"/>
      <w:i/>
      <w:iCs/>
      <w:color w:val="404040" w:themeColor="text1" w:themeTint="BF"/>
      <w:sz w:val="20"/>
      <w:szCs w:val="20"/>
      <w:lang w:val="es-ES" w:eastAsia="es-ES" w:bidi="es-ES"/>
    </w:rPr>
  </w:style>
  <w:style w:type="paragraph" w:styleId="Encabezado">
    <w:name w:val="header"/>
    <w:basedOn w:val="Normal"/>
    <w:link w:val="EncabezadoCar"/>
    <w:uiPriority w:val="99"/>
    <w:unhideWhenUsed/>
    <w:rsid w:val="0007659A"/>
    <w:pPr>
      <w:tabs>
        <w:tab w:val="center" w:pos="4419"/>
        <w:tab w:val="right" w:pos="8838"/>
      </w:tabs>
    </w:pPr>
  </w:style>
  <w:style w:type="character" w:customStyle="1" w:styleId="EncabezadoCar">
    <w:name w:val="Encabezado Car"/>
    <w:basedOn w:val="Fuentedeprrafopredeter"/>
    <w:link w:val="Encabezado"/>
    <w:uiPriority w:val="99"/>
    <w:rsid w:val="0007659A"/>
  </w:style>
  <w:style w:type="paragraph" w:styleId="Piedepgina">
    <w:name w:val="footer"/>
    <w:basedOn w:val="Normal"/>
    <w:link w:val="PiedepginaCar"/>
    <w:uiPriority w:val="99"/>
    <w:unhideWhenUsed/>
    <w:rsid w:val="0007659A"/>
    <w:pPr>
      <w:tabs>
        <w:tab w:val="center" w:pos="4419"/>
        <w:tab w:val="right" w:pos="8838"/>
      </w:tabs>
    </w:pPr>
  </w:style>
  <w:style w:type="character" w:customStyle="1" w:styleId="PiedepginaCar">
    <w:name w:val="Pie de página Car"/>
    <w:basedOn w:val="Fuentedeprrafopredeter"/>
    <w:link w:val="Piedepgina"/>
    <w:uiPriority w:val="99"/>
    <w:rsid w:val="0007659A"/>
  </w:style>
  <w:style w:type="character" w:styleId="Hipervnculo">
    <w:name w:val="Hyperlink"/>
    <w:basedOn w:val="Fuentedeprrafopredeter"/>
    <w:uiPriority w:val="99"/>
    <w:unhideWhenUsed/>
    <w:rsid w:val="005B5BEB"/>
    <w:rPr>
      <w:color w:val="0563C1" w:themeColor="hyperlink"/>
      <w:u w:val="single"/>
    </w:rPr>
  </w:style>
  <w:style w:type="character" w:customStyle="1" w:styleId="Mencinsinresolver1">
    <w:name w:val="Mención sin resolver1"/>
    <w:basedOn w:val="Fuentedeprrafopredeter"/>
    <w:uiPriority w:val="99"/>
    <w:semiHidden/>
    <w:unhideWhenUsed/>
    <w:rsid w:val="005B5BEB"/>
    <w:rPr>
      <w:color w:val="605E5C"/>
      <w:shd w:val="clear" w:color="auto" w:fill="E1DFDD"/>
    </w:rPr>
  </w:style>
  <w:style w:type="character" w:styleId="Hipervnculovisitado">
    <w:name w:val="FollowedHyperlink"/>
    <w:basedOn w:val="Fuentedeprrafopredeter"/>
    <w:uiPriority w:val="99"/>
    <w:semiHidden/>
    <w:unhideWhenUsed/>
    <w:rsid w:val="005B5BEB"/>
    <w:rPr>
      <w:color w:val="954F72" w:themeColor="followedHyperlink"/>
      <w:u w:val="single"/>
    </w:rPr>
  </w:style>
  <w:style w:type="character" w:styleId="Textoennegrita">
    <w:name w:val="Strong"/>
    <w:basedOn w:val="Fuentedeprrafopredeter"/>
    <w:uiPriority w:val="22"/>
    <w:qFormat/>
    <w:rsid w:val="005B5BEB"/>
    <w:rPr>
      <w:b/>
      <w:bCs/>
    </w:rPr>
  </w:style>
  <w:style w:type="character" w:customStyle="1" w:styleId="apple-converted-space">
    <w:name w:val="apple-converted-space"/>
    <w:basedOn w:val="Fuentedeprrafopredeter"/>
    <w:rsid w:val="005B5BEB"/>
  </w:style>
  <w:style w:type="character" w:styleId="Nmerodepgina">
    <w:name w:val="page number"/>
    <w:basedOn w:val="Fuentedeprrafopredeter"/>
    <w:uiPriority w:val="99"/>
    <w:semiHidden/>
    <w:unhideWhenUsed/>
    <w:rsid w:val="00B22906"/>
  </w:style>
  <w:style w:type="paragraph" w:styleId="Textoindependiente">
    <w:name w:val="Body Text"/>
    <w:basedOn w:val="Normal"/>
    <w:link w:val="TextoindependienteCar"/>
    <w:qFormat/>
    <w:rsid w:val="00646F55"/>
    <w:rPr>
      <w:rFonts w:ascii="Century Gothic" w:eastAsia="Century Gothic" w:hAnsi="Century Gothic" w:cs="Century Gothic"/>
      <w:b/>
      <w:bCs/>
      <w:sz w:val="91"/>
      <w:szCs w:val="91"/>
      <w:lang w:val="es-ES" w:eastAsia="es-ES" w:bidi="es-ES"/>
    </w:rPr>
  </w:style>
  <w:style w:type="character" w:customStyle="1" w:styleId="TextoindependienteCar">
    <w:name w:val="Texto independiente Car"/>
    <w:basedOn w:val="Fuentedeprrafopredeter"/>
    <w:link w:val="Textoindependiente"/>
    <w:rsid w:val="00646F55"/>
    <w:rPr>
      <w:rFonts w:ascii="Century Gothic" w:eastAsia="Century Gothic" w:hAnsi="Century Gothic" w:cs="Century Gothic"/>
      <w:b/>
      <w:bCs/>
      <w:sz w:val="91"/>
      <w:szCs w:val="91"/>
      <w:lang w:val="es-ES" w:eastAsia="es-ES" w:bidi="es-ES"/>
    </w:rPr>
  </w:style>
  <w:style w:type="paragraph" w:styleId="Prrafodelista">
    <w:name w:val="List Paragraph"/>
    <w:aliases w:val="Capítulo"/>
    <w:basedOn w:val="Normal"/>
    <w:link w:val="PrrafodelistaCar"/>
    <w:uiPriority w:val="34"/>
    <w:qFormat/>
    <w:rsid w:val="00646F55"/>
    <w:pPr>
      <w:ind w:left="720"/>
      <w:contextualSpacing/>
    </w:pPr>
    <w:rPr>
      <w:lang w:val="es-ES_tradnl"/>
    </w:rPr>
  </w:style>
  <w:style w:type="character" w:customStyle="1" w:styleId="PrrafodelistaCar">
    <w:name w:val="Párrafo de lista Car"/>
    <w:aliases w:val="Capítulo Car"/>
    <w:link w:val="Prrafodelista"/>
    <w:uiPriority w:val="34"/>
    <w:rsid w:val="00646F55"/>
    <w:rPr>
      <w:lang w:val="es-ES_tradnl"/>
    </w:rPr>
  </w:style>
  <w:style w:type="paragraph" w:styleId="NormalWeb">
    <w:name w:val="Normal (Web)"/>
    <w:basedOn w:val="Normal"/>
    <w:uiPriority w:val="99"/>
    <w:unhideWhenUsed/>
    <w:rsid w:val="00646F55"/>
    <w:pPr>
      <w:spacing w:before="100" w:beforeAutospacing="1" w:after="100" w:afterAutospacing="1"/>
    </w:pPr>
    <w:rPr>
      <w:rFonts w:ascii="Times New Roman" w:hAnsi="Times New Roman" w:cs="Times New Roman"/>
      <w:lang w:val="es-ES_tradnl" w:eastAsia="es-ES_tradnl"/>
    </w:rPr>
  </w:style>
  <w:style w:type="character" w:customStyle="1" w:styleId="TextodegloboCar">
    <w:name w:val="Texto de globo Car"/>
    <w:basedOn w:val="Fuentedeprrafopredeter"/>
    <w:link w:val="Textodeglobo"/>
    <w:uiPriority w:val="99"/>
    <w:semiHidden/>
    <w:rsid w:val="00646F55"/>
    <w:rPr>
      <w:rFonts w:ascii="Tahoma" w:eastAsia="Century Gothic" w:hAnsi="Tahoma" w:cs="Tahoma"/>
      <w:sz w:val="16"/>
      <w:szCs w:val="16"/>
      <w:lang w:val="es-ES" w:eastAsia="es-ES" w:bidi="es-ES"/>
    </w:rPr>
  </w:style>
  <w:style w:type="paragraph" w:styleId="Textodeglobo">
    <w:name w:val="Balloon Text"/>
    <w:basedOn w:val="Normal"/>
    <w:link w:val="TextodegloboCar"/>
    <w:uiPriority w:val="99"/>
    <w:semiHidden/>
    <w:unhideWhenUsed/>
    <w:rsid w:val="00646F55"/>
    <w:rPr>
      <w:rFonts w:ascii="Tahoma" w:eastAsia="Century Gothic" w:hAnsi="Tahoma" w:cs="Tahoma"/>
      <w:sz w:val="16"/>
      <w:szCs w:val="16"/>
      <w:lang w:val="es-ES" w:eastAsia="es-ES" w:bidi="es-ES"/>
    </w:rPr>
  </w:style>
  <w:style w:type="paragraph" w:styleId="Sangradetextonormal">
    <w:name w:val="Body Text Indent"/>
    <w:basedOn w:val="Normal"/>
    <w:link w:val="SangradetextonormalCar"/>
    <w:unhideWhenUsed/>
    <w:rsid w:val="00646F55"/>
    <w:pPr>
      <w:spacing w:after="120"/>
      <w:ind w:left="283"/>
    </w:pPr>
    <w:rPr>
      <w:rFonts w:ascii="Century Gothic" w:eastAsia="Century Gothic" w:hAnsi="Century Gothic" w:cs="Century Gothic"/>
      <w:sz w:val="22"/>
      <w:szCs w:val="22"/>
      <w:lang w:val="es-ES" w:eastAsia="es-ES" w:bidi="es-ES"/>
    </w:rPr>
  </w:style>
  <w:style w:type="character" w:customStyle="1" w:styleId="SangradetextonormalCar">
    <w:name w:val="Sangría de texto normal Car"/>
    <w:basedOn w:val="Fuentedeprrafopredeter"/>
    <w:link w:val="Sangradetextonormal"/>
    <w:rsid w:val="00646F55"/>
    <w:rPr>
      <w:rFonts w:ascii="Century Gothic" w:eastAsia="Century Gothic" w:hAnsi="Century Gothic" w:cs="Century Gothic"/>
      <w:sz w:val="22"/>
      <w:szCs w:val="22"/>
      <w:lang w:val="es-ES" w:eastAsia="es-ES" w:bidi="es-ES"/>
    </w:rPr>
  </w:style>
  <w:style w:type="paragraph" w:styleId="Fecha">
    <w:name w:val="Date"/>
    <w:basedOn w:val="Normal"/>
    <w:next w:val="Normal"/>
    <w:link w:val="FechaCar"/>
    <w:rsid w:val="00646F55"/>
    <w:pPr>
      <w:spacing w:line="240" w:lineRule="atLeast"/>
      <w:jc w:val="right"/>
    </w:pPr>
    <w:rPr>
      <w:rFonts w:ascii="Trebuchet MS" w:eastAsia="Times New Roman" w:hAnsi="Trebuchet MS" w:cs="Trebuchet MS"/>
      <w:b/>
      <w:color w:val="C2C2AD"/>
      <w:spacing w:val="20"/>
      <w:sz w:val="16"/>
      <w:szCs w:val="16"/>
      <w:lang w:val="en-US"/>
    </w:rPr>
  </w:style>
  <w:style w:type="character" w:customStyle="1" w:styleId="FechaCar">
    <w:name w:val="Fecha Car"/>
    <w:basedOn w:val="Fuentedeprrafopredeter"/>
    <w:link w:val="Fecha"/>
    <w:rsid w:val="00646F55"/>
    <w:rPr>
      <w:rFonts w:ascii="Trebuchet MS" w:eastAsia="Times New Roman" w:hAnsi="Trebuchet MS" w:cs="Trebuchet MS"/>
      <w:b/>
      <w:color w:val="C2C2AD"/>
      <w:spacing w:val="20"/>
      <w:sz w:val="16"/>
      <w:szCs w:val="16"/>
      <w:lang w:val="en-US"/>
    </w:rPr>
  </w:style>
  <w:style w:type="paragraph" w:customStyle="1" w:styleId="Textodelttulo">
    <w:name w:val="Texto del título"/>
    <w:basedOn w:val="Normal"/>
    <w:rsid w:val="00646F55"/>
    <w:pPr>
      <w:spacing w:line="240" w:lineRule="atLeast"/>
    </w:pPr>
    <w:rPr>
      <w:rFonts w:ascii="Lucida Sans Unicode" w:eastAsia="Times New Roman" w:hAnsi="Lucida Sans Unicode" w:cs="Lucida Sans Unicode"/>
      <w:i/>
      <w:color w:val="666633"/>
      <w:sz w:val="16"/>
      <w:szCs w:val="16"/>
      <w:lang w:val="en-US" w:bidi="en-US"/>
    </w:rPr>
  </w:style>
  <w:style w:type="paragraph" w:styleId="Cita">
    <w:name w:val="Quote"/>
    <w:basedOn w:val="Textodelttulo"/>
    <w:link w:val="CitaCar"/>
    <w:qFormat/>
    <w:rsid w:val="00646F55"/>
    <w:pPr>
      <w:spacing w:line="360" w:lineRule="atLeast"/>
      <w:jc w:val="center"/>
    </w:pPr>
    <w:rPr>
      <w:sz w:val="24"/>
      <w:szCs w:val="24"/>
    </w:rPr>
  </w:style>
  <w:style w:type="character" w:customStyle="1" w:styleId="CitaCar">
    <w:name w:val="Cita Car"/>
    <w:basedOn w:val="Fuentedeprrafopredeter"/>
    <w:link w:val="Cita"/>
    <w:rsid w:val="00646F55"/>
    <w:rPr>
      <w:rFonts w:ascii="Lucida Sans Unicode" w:eastAsia="Times New Roman" w:hAnsi="Lucida Sans Unicode" w:cs="Lucida Sans Unicode"/>
      <w:i/>
      <w:color w:val="666633"/>
      <w:lang w:val="en-US" w:bidi="en-US"/>
    </w:rPr>
  </w:style>
  <w:style w:type="paragraph" w:customStyle="1" w:styleId="Encabezado1">
    <w:name w:val="Encabezado1"/>
    <w:basedOn w:val="Ttulo1"/>
    <w:rsid w:val="00646F55"/>
    <w:pPr>
      <w:keepLines w:val="0"/>
      <w:spacing w:before="0"/>
    </w:pPr>
    <w:rPr>
      <w:rFonts w:ascii="Century Gothic" w:eastAsia="Times New Roman" w:hAnsi="Century Gothic" w:cs="Century Gothic"/>
      <w:bCs w:val="0"/>
      <w:smallCaps/>
      <w:color w:val="C2C2AD"/>
      <w:spacing w:val="44"/>
      <w:sz w:val="96"/>
      <w:szCs w:val="96"/>
      <w:lang w:val="en-US" w:eastAsia="en-US" w:bidi="en-US"/>
    </w:rPr>
  </w:style>
  <w:style w:type="paragraph" w:customStyle="1" w:styleId="Grfico">
    <w:name w:val="Gráfico"/>
    <w:basedOn w:val="Normal"/>
    <w:rsid w:val="00646F55"/>
    <w:pPr>
      <w:jc w:val="center"/>
    </w:pPr>
    <w:rPr>
      <w:rFonts w:ascii="Trebuchet MS" w:eastAsia="Times New Roman" w:hAnsi="Trebuchet MS" w:cs="Trebuchet MS"/>
      <w:color w:val="000000"/>
      <w:lang w:val="en-US" w:bidi="en-US"/>
    </w:rPr>
  </w:style>
  <w:style w:type="paragraph" w:customStyle="1" w:styleId="Eslogan">
    <w:name w:val="Eslogan"/>
    <w:basedOn w:val="Normal"/>
    <w:rsid w:val="00646F55"/>
    <w:rPr>
      <w:rFonts w:ascii="Lucida Sans Unicode" w:eastAsia="Times New Roman" w:hAnsi="Lucida Sans Unicode" w:cs="Lucida Sans Unicode"/>
      <w:b/>
      <w:color w:val="666633"/>
      <w:sz w:val="18"/>
      <w:szCs w:val="18"/>
      <w:lang w:val="en-US" w:bidi="en-US"/>
    </w:rPr>
  </w:style>
  <w:style w:type="paragraph" w:customStyle="1" w:styleId="Volumenynmero">
    <w:name w:val="Volumen y número"/>
    <w:basedOn w:val="Normal"/>
    <w:rsid w:val="00646F55"/>
    <w:pPr>
      <w:spacing w:line="240" w:lineRule="atLeast"/>
      <w:jc w:val="right"/>
    </w:pPr>
    <w:rPr>
      <w:rFonts w:ascii="Trebuchet MS" w:eastAsia="Times New Roman" w:hAnsi="Trebuchet MS" w:cs="Trebuchet MS"/>
      <w:b/>
      <w:color w:val="C2C2AD"/>
      <w:spacing w:val="20"/>
      <w:sz w:val="16"/>
      <w:szCs w:val="16"/>
      <w:lang w:val="en-US" w:bidi="en-US"/>
    </w:rPr>
  </w:style>
  <w:style w:type="paragraph" w:customStyle="1" w:styleId="Ira">
    <w:name w:val="Ir a"/>
    <w:rsid w:val="00646F55"/>
    <w:pPr>
      <w:jc w:val="right"/>
    </w:pPr>
    <w:rPr>
      <w:rFonts w:ascii="Lucida Sans Unicode" w:eastAsia="Times New Roman" w:hAnsi="Lucida Sans Unicode" w:cs="Lucida Sans Unicode"/>
      <w:sz w:val="20"/>
      <w:szCs w:val="20"/>
      <w:lang w:val="en-US" w:bidi="en-US"/>
    </w:rPr>
  </w:style>
  <w:style w:type="paragraph" w:customStyle="1" w:styleId="Irdesde">
    <w:name w:val="Ir desde"/>
    <w:rsid w:val="00646F55"/>
    <w:rPr>
      <w:rFonts w:ascii="Lucida Sans Unicode" w:eastAsia="Times New Roman" w:hAnsi="Lucida Sans Unicode" w:cs="Lucida Sans Unicode"/>
      <w:sz w:val="20"/>
      <w:szCs w:val="20"/>
      <w:lang w:val="en-US" w:bidi="en-US"/>
    </w:rPr>
  </w:style>
  <w:style w:type="paragraph" w:customStyle="1" w:styleId="Ttulodelaizquierda">
    <w:name w:val="Título de la izquierda"/>
    <w:basedOn w:val="Normal"/>
    <w:rsid w:val="00646F55"/>
    <w:rPr>
      <w:rFonts w:ascii="Lucida Sans Unicode" w:eastAsia="Times New Roman" w:hAnsi="Lucida Sans Unicode" w:cs="Lucida Sans Unicode"/>
      <w:color w:val="666633"/>
      <w:sz w:val="28"/>
      <w:szCs w:val="28"/>
      <w:lang w:val="en-US" w:bidi="en-US"/>
    </w:rPr>
  </w:style>
  <w:style w:type="paragraph" w:customStyle="1" w:styleId="Ttulodeladerecha">
    <w:name w:val="Título de la derecha"/>
    <w:basedOn w:val="Normal"/>
    <w:rsid w:val="00646F55"/>
    <w:pPr>
      <w:jc w:val="right"/>
    </w:pPr>
    <w:rPr>
      <w:rFonts w:ascii="Lucida Sans Unicode" w:eastAsia="Times New Roman" w:hAnsi="Lucida Sans Unicode" w:cs="Lucida Sans Unicode"/>
      <w:color w:val="666633"/>
      <w:sz w:val="28"/>
      <w:szCs w:val="28"/>
      <w:lang w:val="en-US" w:bidi="en-US"/>
    </w:rPr>
  </w:style>
  <w:style w:type="paragraph" w:customStyle="1" w:styleId="Lneadeautor">
    <w:name w:val="Línea de autor"/>
    <w:basedOn w:val="Irdesde"/>
    <w:rsid w:val="00646F55"/>
  </w:style>
  <w:style w:type="paragraph" w:customStyle="1" w:styleId="Direccindedevolucin">
    <w:name w:val="Dirección de devolución"/>
    <w:basedOn w:val="Normal"/>
    <w:rsid w:val="00646F55"/>
    <w:rPr>
      <w:rFonts w:ascii="Lucida Sans Unicode" w:eastAsia="Times New Roman" w:hAnsi="Lucida Sans Unicode" w:cs="Lucida Sans Unicode"/>
      <w:color w:val="666633"/>
      <w:sz w:val="22"/>
      <w:szCs w:val="22"/>
      <w:lang w:val="en-US" w:bidi="en-US"/>
    </w:rPr>
  </w:style>
  <w:style w:type="paragraph" w:customStyle="1" w:styleId="Direccindeenvo">
    <w:name w:val="Dirección de envío"/>
    <w:basedOn w:val="Normal"/>
    <w:rsid w:val="00646F55"/>
    <w:pPr>
      <w:spacing w:line="280" w:lineRule="atLeast"/>
    </w:pPr>
    <w:rPr>
      <w:rFonts w:ascii="Arial" w:eastAsia="Times New Roman" w:hAnsi="Arial" w:cs="Arial"/>
      <w:b/>
      <w:lang w:val="en-US" w:bidi="en-US"/>
    </w:rPr>
  </w:style>
  <w:style w:type="paragraph" w:customStyle="1" w:styleId="Textoprincipal-Numerado">
    <w:name w:val="Texto principal - Numerado"/>
    <w:rsid w:val="00646F55"/>
    <w:pPr>
      <w:numPr>
        <w:numId w:val="2"/>
      </w:numPr>
      <w:spacing w:after="150" w:line="300" w:lineRule="exact"/>
      <w:ind w:left="360"/>
    </w:pPr>
    <w:rPr>
      <w:rFonts w:ascii="Lucida Sans Unicode" w:eastAsia="Times New Roman" w:hAnsi="Lucida Sans Unicode" w:cs="Lucida Sans Unicode"/>
      <w:sz w:val="20"/>
      <w:szCs w:val="20"/>
      <w:lang w:val="en-US" w:bidi="en-US"/>
    </w:rPr>
  </w:style>
  <w:style w:type="paragraph" w:customStyle="1" w:styleId="Textoprincipal-Espacioextra">
    <w:name w:val="Texto principal - Espacio extra"/>
    <w:rsid w:val="00646F55"/>
    <w:pPr>
      <w:spacing w:before="300" w:after="300" w:line="300" w:lineRule="exact"/>
    </w:pPr>
    <w:rPr>
      <w:rFonts w:ascii="Lucida Sans Unicode" w:eastAsia="Times New Roman" w:hAnsi="Lucida Sans Unicode" w:cs="Lucida Sans Unicode"/>
      <w:sz w:val="20"/>
      <w:szCs w:val="20"/>
      <w:lang w:val="en-US" w:bidi="en-US"/>
    </w:rPr>
  </w:style>
  <w:style w:type="character" w:customStyle="1" w:styleId="Carcterdetextoprincipal">
    <w:name w:val="Carácter de texto principal"/>
    <w:basedOn w:val="Fuentedeprrafopredeter"/>
    <w:rsid w:val="00646F55"/>
    <w:rPr>
      <w:rFonts w:ascii="Lucida Sans Unicode" w:hAnsi="Lucida Sans Unicode" w:cs="Lucida Sans Unicode" w:hint="default"/>
      <w:lang w:val="en-US" w:eastAsia="en-US" w:bidi="en-US"/>
    </w:rPr>
  </w:style>
  <w:style w:type="paragraph" w:styleId="Bibliografa">
    <w:name w:val="Bibliography"/>
    <w:basedOn w:val="Normal"/>
    <w:next w:val="Normal"/>
    <w:uiPriority w:val="37"/>
    <w:unhideWhenUsed/>
    <w:rsid w:val="00646F55"/>
    <w:rPr>
      <w:rFonts w:ascii="Century Gothic" w:eastAsia="Century Gothic" w:hAnsi="Century Gothic" w:cs="Century Gothic"/>
      <w:sz w:val="22"/>
      <w:szCs w:val="22"/>
      <w:lang w:val="es-ES" w:eastAsia="es-ES" w:bidi="es-ES"/>
    </w:rPr>
  </w:style>
  <w:style w:type="paragraph" w:styleId="Textonotapie">
    <w:name w:val="footnote text"/>
    <w:basedOn w:val="Normal"/>
    <w:link w:val="TextonotapieCar"/>
    <w:uiPriority w:val="99"/>
    <w:unhideWhenUsed/>
    <w:rsid w:val="00646F55"/>
    <w:rPr>
      <w:rFonts w:ascii="Century Gothic" w:eastAsia="Century Gothic" w:hAnsi="Century Gothic" w:cs="Century Gothic"/>
      <w:sz w:val="20"/>
      <w:szCs w:val="20"/>
      <w:lang w:val="es-ES" w:eastAsia="es-ES" w:bidi="es-ES"/>
    </w:rPr>
  </w:style>
  <w:style w:type="character" w:customStyle="1" w:styleId="TextonotapieCar">
    <w:name w:val="Texto nota pie Car"/>
    <w:basedOn w:val="Fuentedeprrafopredeter"/>
    <w:link w:val="Textonotapie"/>
    <w:uiPriority w:val="99"/>
    <w:rsid w:val="00646F55"/>
    <w:rPr>
      <w:rFonts w:ascii="Century Gothic" w:eastAsia="Century Gothic" w:hAnsi="Century Gothic" w:cs="Century Gothic"/>
      <w:sz w:val="20"/>
      <w:szCs w:val="20"/>
      <w:lang w:val="es-ES" w:eastAsia="es-ES" w:bidi="es-ES"/>
    </w:rPr>
  </w:style>
  <w:style w:type="character" w:styleId="Refdenotaalpie">
    <w:name w:val="footnote reference"/>
    <w:basedOn w:val="Fuentedeprrafopredeter"/>
    <w:uiPriority w:val="99"/>
    <w:semiHidden/>
    <w:unhideWhenUsed/>
    <w:rsid w:val="00646F55"/>
    <w:rPr>
      <w:vertAlign w:val="superscript"/>
    </w:rPr>
  </w:style>
  <w:style w:type="character" w:customStyle="1" w:styleId="TextocomentarioCar">
    <w:name w:val="Texto comentario Car"/>
    <w:basedOn w:val="Fuentedeprrafopredeter"/>
    <w:link w:val="Textocomentario"/>
    <w:uiPriority w:val="99"/>
    <w:semiHidden/>
    <w:rsid w:val="00646F55"/>
    <w:rPr>
      <w:rFonts w:ascii="Century Gothic" w:eastAsia="Century Gothic" w:hAnsi="Century Gothic" w:cs="Century Gothic"/>
      <w:sz w:val="20"/>
      <w:szCs w:val="20"/>
      <w:lang w:val="es-ES" w:eastAsia="es-ES" w:bidi="es-ES"/>
    </w:rPr>
  </w:style>
  <w:style w:type="paragraph" w:styleId="Textocomentario">
    <w:name w:val="annotation text"/>
    <w:basedOn w:val="Normal"/>
    <w:link w:val="TextocomentarioCar"/>
    <w:uiPriority w:val="99"/>
    <w:semiHidden/>
    <w:unhideWhenUsed/>
    <w:rsid w:val="00646F55"/>
    <w:rPr>
      <w:rFonts w:ascii="Century Gothic" w:eastAsia="Century Gothic" w:hAnsi="Century Gothic" w:cs="Century Gothic"/>
      <w:sz w:val="20"/>
      <w:szCs w:val="20"/>
      <w:lang w:val="es-ES" w:eastAsia="es-ES" w:bidi="es-ES"/>
    </w:rPr>
  </w:style>
  <w:style w:type="character" w:customStyle="1" w:styleId="AsuntodelcomentarioCar">
    <w:name w:val="Asunto del comentario Car"/>
    <w:basedOn w:val="TextocomentarioCar"/>
    <w:link w:val="Asuntodelcomentario"/>
    <w:uiPriority w:val="99"/>
    <w:semiHidden/>
    <w:rsid w:val="00646F55"/>
    <w:rPr>
      <w:rFonts w:ascii="Century Gothic" w:eastAsia="Century Gothic" w:hAnsi="Century Gothic" w:cs="Century Gothic"/>
      <w:b/>
      <w:bCs/>
      <w:sz w:val="20"/>
      <w:szCs w:val="20"/>
      <w:lang w:val="es-ES" w:eastAsia="es-ES" w:bidi="es-ES"/>
    </w:rPr>
  </w:style>
  <w:style w:type="paragraph" w:styleId="Asuntodelcomentario">
    <w:name w:val="annotation subject"/>
    <w:basedOn w:val="Textocomentario"/>
    <w:next w:val="Textocomentario"/>
    <w:link w:val="AsuntodelcomentarioCar"/>
    <w:uiPriority w:val="99"/>
    <w:semiHidden/>
    <w:unhideWhenUsed/>
    <w:rsid w:val="00646F55"/>
    <w:rPr>
      <w:b/>
      <w:bCs/>
    </w:rPr>
  </w:style>
  <w:style w:type="paragraph" w:customStyle="1" w:styleId="Default">
    <w:name w:val="Default"/>
    <w:rsid w:val="00646F55"/>
    <w:pPr>
      <w:autoSpaceDE w:val="0"/>
      <w:autoSpaceDN w:val="0"/>
      <w:adjustRightInd w:val="0"/>
    </w:pPr>
    <w:rPr>
      <w:rFonts w:ascii="Century Gothic" w:hAnsi="Century Gothic" w:cs="Century Gothic"/>
      <w:color w:val="000000"/>
      <w:lang w:val="es-PR"/>
    </w:rPr>
  </w:style>
  <w:style w:type="paragraph" w:styleId="TtulodeTDC">
    <w:name w:val="TOC Heading"/>
    <w:basedOn w:val="Ttulo1"/>
    <w:next w:val="Normal"/>
    <w:uiPriority w:val="39"/>
    <w:unhideWhenUsed/>
    <w:qFormat/>
    <w:rsid w:val="00646F55"/>
    <w:pPr>
      <w:spacing w:before="240" w:line="259" w:lineRule="auto"/>
      <w:outlineLvl w:val="9"/>
    </w:pPr>
    <w:rPr>
      <w:b w:val="0"/>
      <w:bCs w:val="0"/>
      <w:sz w:val="32"/>
      <w:szCs w:val="32"/>
      <w:lang w:val="es-PR" w:eastAsia="es-PR" w:bidi="ar-SA"/>
    </w:rPr>
  </w:style>
  <w:style w:type="paragraph" w:styleId="TDC2">
    <w:name w:val="toc 2"/>
    <w:basedOn w:val="Normal"/>
    <w:next w:val="Normal"/>
    <w:autoRedefine/>
    <w:uiPriority w:val="39"/>
    <w:unhideWhenUsed/>
    <w:rsid w:val="00646F55"/>
    <w:pPr>
      <w:spacing w:after="100"/>
      <w:ind w:left="220"/>
    </w:pPr>
    <w:rPr>
      <w:rFonts w:ascii="Century Gothic" w:eastAsia="Century Gothic" w:hAnsi="Century Gothic" w:cs="Century Gothic"/>
      <w:sz w:val="22"/>
      <w:szCs w:val="22"/>
      <w:lang w:val="es-ES" w:eastAsia="es-ES" w:bidi="es-ES"/>
    </w:rPr>
  </w:style>
  <w:style w:type="paragraph" w:styleId="TDC3">
    <w:name w:val="toc 3"/>
    <w:basedOn w:val="Normal"/>
    <w:next w:val="Normal"/>
    <w:autoRedefine/>
    <w:uiPriority w:val="39"/>
    <w:unhideWhenUsed/>
    <w:rsid w:val="00646F55"/>
    <w:pPr>
      <w:spacing w:after="100"/>
      <w:ind w:left="440"/>
    </w:pPr>
    <w:rPr>
      <w:rFonts w:ascii="Century Gothic" w:eastAsia="Century Gothic" w:hAnsi="Century Gothic" w:cs="Century Gothic"/>
      <w:sz w:val="22"/>
      <w:szCs w:val="22"/>
      <w:lang w:val="es-ES" w:eastAsia="es-ES" w:bidi="es-ES"/>
    </w:rPr>
  </w:style>
  <w:style w:type="paragraph" w:styleId="TDC1">
    <w:name w:val="toc 1"/>
    <w:basedOn w:val="Normal"/>
    <w:next w:val="Normal"/>
    <w:autoRedefine/>
    <w:uiPriority w:val="39"/>
    <w:unhideWhenUsed/>
    <w:rsid w:val="00646F55"/>
    <w:pPr>
      <w:spacing w:after="100"/>
    </w:pPr>
    <w:rPr>
      <w:rFonts w:ascii="Century Gothic" w:eastAsia="Century Gothic" w:hAnsi="Century Gothic" w:cs="Century Gothic"/>
      <w:sz w:val="22"/>
      <w:szCs w:val="22"/>
      <w:lang w:val="es-ES" w:eastAsia="es-ES" w:bidi="es-ES"/>
    </w:rPr>
  </w:style>
  <w:style w:type="paragraph" w:styleId="Descripcin">
    <w:name w:val="caption"/>
    <w:basedOn w:val="Normal"/>
    <w:next w:val="Normal"/>
    <w:uiPriority w:val="35"/>
    <w:unhideWhenUsed/>
    <w:qFormat/>
    <w:rsid w:val="00646F55"/>
    <w:pPr>
      <w:spacing w:after="200"/>
    </w:pPr>
    <w:rPr>
      <w:rFonts w:ascii="Century Gothic" w:eastAsia="Century Gothic" w:hAnsi="Century Gothic" w:cs="Century Gothic"/>
      <w:i/>
      <w:iCs/>
      <w:color w:val="44546A" w:themeColor="text2"/>
      <w:sz w:val="18"/>
      <w:szCs w:val="18"/>
      <w:lang w:val="es-ES" w:eastAsia="es-ES" w:bidi="es-ES"/>
    </w:rPr>
  </w:style>
  <w:style w:type="paragraph" w:styleId="Tabladeilustraciones">
    <w:name w:val="table of figures"/>
    <w:basedOn w:val="Normal"/>
    <w:next w:val="Normal"/>
    <w:uiPriority w:val="99"/>
    <w:unhideWhenUsed/>
    <w:rsid w:val="00646F55"/>
    <w:rPr>
      <w:rFonts w:ascii="Century Gothic" w:eastAsia="Century Gothic" w:hAnsi="Century Gothic" w:cs="Century Gothic"/>
      <w:sz w:val="22"/>
      <w:szCs w:val="22"/>
      <w:lang w:val="es-ES" w:eastAsia="es-ES" w:bidi="es-ES"/>
    </w:rPr>
  </w:style>
  <w:style w:type="paragraph" w:styleId="ndice1">
    <w:name w:val="index 1"/>
    <w:basedOn w:val="Normal"/>
    <w:next w:val="Normal"/>
    <w:autoRedefine/>
    <w:uiPriority w:val="99"/>
    <w:semiHidden/>
    <w:unhideWhenUsed/>
    <w:rsid w:val="00646F55"/>
    <w:pPr>
      <w:ind w:left="220" w:hanging="220"/>
    </w:pPr>
    <w:rPr>
      <w:rFonts w:ascii="Century Gothic" w:eastAsia="Century Gothic" w:hAnsi="Century Gothic" w:cs="Century Gothic"/>
      <w:sz w:val="22"/>
      <w:szCs w:val="22"/>
      <w:lang w:val="es-ES" w:eastAsia="es-ES" w:bidi="es-ES"/>
    </w:rPr>
  </w:style>
  <w:style w:type="table" w:styleId="Tablaconcuadrcula">
    <w:name w:val="Table Grid"/>
    <w:basedOn w:val="Tablanormal"/>
    <w:uiPriority w:val="39"/>
    <w:rsid w:val="0096496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566273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ecuadorencifras.gob.ec/encuesta-de-informacion-ambiental-economica-en-empresas/"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www.ecuadorencifras.gob.ec/estadisticas/"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ecuadorencifras.gob.ec/encuesta-de-informacion-ambiental-economica-en-empresas/" TargetMode="External"/><Relationship Id="rId2" Type="http://schemas.openxmlformats.org/officeDocument/2006/relationships/hyperlink" Target="http://www.ecuadorencifras.gob.ec/documentos/web-inec/Estadisticas_Economicas/Encuesta_Estructural_Empresarial/2019/2019_ENESEM_Metodologia.pdf" TargetMode="External"/><Relationship Id="rId1" Type="http://schemas.openxmlformats.org/officeDocument/2006/relationships/hyperlink" Target="https://www.ecuadorencifras.gob.ec/encuesta-de-informacion-ambiental-economica-en-empresas/" TargetMode="External"/><Relationship Id="rId4" Type="http://schemas.openxmlformats.org/officeDocument/2006/relationships/hyperlink" Target="https://es.wikipedia.org/wiki/Normalizaci&#243;n_de_bases_de_dato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UNE14</b:Tag>
    <b:SourceType>Report</b:SourceType>
    <b:Guid>{07ADDE03-ED2B-4A85-88CB-869210CDFC90}</b:Guid>
    <b:Author>
      <b:Author>
        <b:Corporate>UNEP</b:Corporate>
      </b:Author>
    </b:Author>
    <b:Title>Using indicators for Green Economy Policymaking (Working Paper)</b:Title>
    <b:Year>2014</b:Year>
    <b:Publisher>UNEP</b:Publisher>
    <b:URL>https://wedocs.unep.org/bitstream/handle/20.500.11822/9532/-Using%20indicators%20for%20Green%20Economy%20policymaking-2014IndicatorsWorkingPaper.pdf</b:URL>
    <b:YearAccessed>2019</b:YearAccessed>
    <b:MonthAccessed>Mayo</b:MonthAccessed>
    <b:DayAccessed>01</b:DayAccessed>
    <b:RefOrder>1</b:RefOrder>
  </b:Source>
  <b:Source>
    <b:Tag>Cer17</b:Tag>
    <b:SourceType>Book</b:SourceType>
    <b:Guid>{73358C88-D3C2-4D6A-B208-BAB848F4D9D8}</b:Guid>
    <b:Author>
      <b:Author>
        <b:NameList>
          <b:Person>
            <b:Last>Cervera-Ferri</b:Last>
            <b:First>José</b:First>
          </b:Person>
          <b:Person>
            <b:Last>Ureña</b:Last>
            <b:First>Mónica</b:First>
          </b:Person>
        </b:NameList>
      </b:Author>
    </b:Author>
    <b:Title>Indicadores de Producción Verde: Una guía para avanzar hacia el desarrollo sostenible</b:Title>
    <b:Year>2017</b:Year>
    <b:City>Santiago</b:City>
    <b:Publisher>Naciones Unidas</b:Publisher>
    <b:YearAccessed>2019</b:YearAccessed>
    <b:MonthAccessed>mayo</b:MonthAccessed>
    <b:DayAccessed>01</b:DayAccessed>
    <b:URL>https://repositorio.cepal.org/bitstream/handle/11362/40967/4/S1700065_es.pdf</b:URL>
    <b:RefOrder>2</b:RefOrder>
  </b:Source>
  <b:Source>
    <b:Tag>DEC20</b:Tag>
    <b:SourceType>Report</b:SourceType>
    <b:Guid>{3BC21795-BE46-4DB6-B228-9F5C78CBA76C}</b:Guid>
    <b:Author>
      <b:Author>
        <b:Corporate>INEC</b:Corporate>
      </b:Author>
    </b:Author>
    <b:Title>Metodología de la ENESEM 2019</b:Title>
    <b:Year>2021</b:Year>
    <b:City>Quito</b:City>
    <b:YearAccessed>2019</b:YearAccessed>
    <b:MonthAccessed>Mayo</b:MonthAccessed>
    <b:DayAccessed>01</b:DayAccessed>
    <b:URL>http://www.ecuadorencifras.gob.ec/documentos/web-inec/Estadisticas_Economicas/Encuesta_Estructural_Empresarial/2017/2017_ENESEM_Metodologia.pdf</b:URL>
    <b:Department>Dirección de Estadísticas Económicas - DECON</b:Department>
    <b:Institution>INEC</b:Institution>
    <b:RefOrder>3</b:RefOrder>
  </b:Source>
  <b:Source>
    <b:Tag>INE14</b:Tag>
    <b:SourceType>Book</b:SourceType>
    <b:Guid>{4AA55230-D0A9-44BC-8F0A-5D4FB7EF53CC}</b:Guid>
    <b:Author>
      <b:Author>
        <b:Corporate>Instituto Nacional de Eficiencia Energética y Energía Renovable (INER)</b:Corporate>
      </b:Author>
    </b:Author>
    <b:Title>Balance Energético Nacional 2016</b:Title>
    <b:Year>2017</b:Year>
    <b:City>Quito</b:City>
    <b:RefOrder>4</b:RefOrder>
  </b:Source>
  <b:Source>
    <b:Tag>Ram19</b:Tag>
    <b:SourceType>ArticleInAPeriodical</b:SourceType>
    <b:Guid>{A8DB5C26-1F18-4B83-B93E-75315D752A74}</b:Guid>
    <b:Author>
      <b:Author>
        <b:NameList>
          <b:Person>
            <b:Last>Ramos</b:Last>
            <b:First>Javier</b:First>
          </b:Person>
        </b:NameList>
      </b:Author>
    </b:Author>
    <b:Title>Las certififcaciones ISO en el Perú</b:Title>
    <b:Year>2019</b:Year>
    <b:Publisher>Perú</b:Publisher>
    <b:City>Lima</b:City>
    <b:YearAccessed>2019</b:YearAccessed>
    <b:MonthAccessed>mayo</b:MonthAccessed>
    <b:DayAccessed>01</b:DayAccessed>
    <b:URL>https://elperuano.pe/noticia-las-certificaciones-iso-el-peru-74495.aspx</b:URL>
    <b:PeriodicalTitle>El Peruano</b:PeriodicalTitle>
    <b:Month>enero</b:Month>
    <b:Day>06</b:Day>
    <b:RefOrder>5</b:RefOrder>
  </b:Source>
  <b:Source>
    <b:Tag>ORy15</b:Tag>
    <b:SourceType>Report</b:SourceType>
    <b:Guid>{2114EF63-F405-432E-BB8F-2925F5F98A2D}</b:Guid>
    <b:Author>
      <b:Author>
        <b:NameList>
          <b:Person>
            <b:Last>O' Ryan</b:Last>
            <b:First>R.</b:First>
          </b:Person>
        </b:NameList>
      </b:Author>
    </b:Author>
    <b:Title>Revisión y análisis del modelo de promoción de políticas de producción sostenible y adopción de tecnologías verdes en empresas</b:Title>
    <b:Year>2015</b:Year>
    <b:Comments>Informe realizado dentro del proyecto "Hacia un conjunto de indicadores para una producción más verde"</b:Comments>
    <b:RefOrder>6</b:RefOrder>
  </b:Source>
  <b:Source>
    <b:Tag>DAN151</b:Tag>
    <b:SourceType>Report</b:SourceType>
    <b:Guid>{9539E4FF-CB06-48D5-B5FF-5C0C750D85DD}</b:Guid>
    <b:Author>
      <b:Author>
        <b:Corporate>DANE</b:Corporate>
      </b:Author>
    </b:Author>
    <b:Title>Boletín Técnico (DANE), Cuenta Ambiental y Económica de Flujos de Materiales - Residuos Sólidos 2012 – 2014</b:Title>
    <b:Year>2015</b:Year>
    <b:City>Bogotá</b:City>
    <b:URL>http://www.dane.gov.co/files/investigaciones/pib/ambientales/cuentas_ambientales/cuentas-residuos/BT-Cuenta-residuos-2014p.pdf</b:URL>
    <b:RefOrder>7</b:RefOrder>
  </b:Source>
  <b:Source>
    <b:Tag>DANEb18</b:Tag>
    <b:SourceType>Report</b:SourceType>
    <b:Guid>{96BDCF5D-7831-4465-9B23-F55C80219015}</b:Guid>
    <b:Author>
      <b:Author>
        <b:Corporate>DANE</b:Corporate>
      </b:Author>
    </b:Author>
    <b:Title>Boletín Técnico: Cuenta ambiental y económica de flujos de agua (2017-2018p)</b:Title>
    <b:Year>2018</b:Year>
    <b:City>Bogotá</b:City>
    <b:YearAccessed>2019</b:YearAccessed>
    <b:MonthAccessed>mayo</b:MonthAccessed>
    <b:DayAccessed>01</b:DayAccessed>
    <b:URL>https://www.dane.gov.co/files/investigaciones/pib/ambientales/cuentas_ambientales/cuenta-del-agua/Boletin-tecnico-cuenta-ambiental-y-economica-del-agua-2015p.pdf</b:URL>
    <b:RefOrder>8</b:RefOrder>
  </b:Source>
</b:Sources>
</file>

<file path=customXml/itemProps1.xml><?xml version="1.0" encoding="utf-8"?>
<ds:datastoreItem xmlns:ds="http://schemas.openxmlformats.org/officeDocument/2006/customXml" ds:itemID="{ED4C7DCE-FA06-41B5-AE6A-665FE64C9C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95</TotalTime>
  <Pages>1</Pages>
  <Words>4172</Words>
  <Characters>22948</Characters>
  <Application>Microsoft Office Word</Application>
  <DocSecurity>0</DocSecurity>
  <Lines>191</Lines>
  <Paragraphs>54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27066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INEC Karina Guallasamin</cp:lastModifiedBy>
  <cp:revision>43</cp:revision>
  <dcterms:created xsi:type="dcterms:W3CDTF">2021-04-28T03:07:00Z</dcterms:created>
  <dcterms:modified xsi:type="dcterms:W3CDTF">2022-05-03T13:52:00Z</dcterms:modified>
</cp:coreProperties>
</file>